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240BB8">
        <w:rPr>
          <w:sz w:val="20"/>
          <w:lang w:val="sv-SE"/>
        </w:rPr>
        <w:t xml:space="preserve"> #7</w:t>
      </w:r>
      <w:r w:rsidR="00240BB8">
        <w:rPr>
          <w:rFonts w:hint="eastAsia"/>
          <w:sz w:val="20"/>
          <w:lang w:val="sv-SE"/>
        </w:rPr>
        <w:t>8</w:t>
      </w:r>
      <w:r w:rsidR="00857CEA">
        <w:rPr>
          <w:sz w:val="20"/>
          <w:lang w:val="sv-SE"/>
        </w:rPr>
        <w:tab/>
      </w:r>
      <w:r w:rsidR="000B3796" w:rsidRPr="000B3796">
        <w:rPr>
          <w:sz w:val="20"/>
          <w:lang w:val="sv-SE"/>
        </w:rPr>
        <w:t>R4-160368</w:t>
      </w:r>
      <w:bookmarkStart w:id="2" w:name="_GoBack"/>
      <w:bookmarkEnd w:id="2"/>
    </w:p>
    <w:p w:rsidR="00D90968" w:rsidRPr="00D90968" w:rsidRDefault="00240BB8" w:rsidP="00D90968">
      <w:pPr>
        <w:pStyle w:val="Header"/>
        <w:rPr>
          <w:sz w:val="20"/>
        </w:rPr>
      </w:pPr>
      <w:r>
        <w:rPr>
          <w:rFonts w:hint="eastAsia"/>
          <w:sz w:val="20"/>
        </w:rPr>
        <w:t>Malta</w:t>
      </w:r>
      <w:r w:rsidR="00D90968" w:rsidRPr="00D90968">
        <w:rPr>
          <w:sz w:val="20"/>
        </w:rPr>
        <w:t xml:space="preserve">, Malta, </w:t>
      </w:r>
      <w:r>
        <w:rPr>
          <w:rFonts w:hint="eastAsia"/>
          <w:sz w:val="20"/>
        </w:rPr>
        <w:t>15</w:t>
      </w:r>
      <w:r w:rsidR="00D90968" w:rsidRPr="00D90968">
        <w:rPr>
          <w:sz w:val="20"/>
        </w:rPr>
        <w:t xml:space="preserve">th </w:t>
      </w:r>
      <w:r>
        <w:rPr>
          <w:rFonts w:hint="eastAsia"/>
          <w:sz w:val="20"/>
        </w:rPr>
        <w:t>Feb</w:t>
      </w:r>
      <w:r w:rsidR="00D90968" w:rsidRPr="00D90968">
        <w:rPr>
          <w:sz w:val="20"/>
        </w:rPr>
        <w:t xml:space="preserve">– </w:t>
      </w:r>
      <w:r>
        <w:rPr>
          <w:rFonts w:hint="eastAsia"/>
          <w:sz w:val="20"/>
        </w:rPr>
        <w:t>20</w:t>
      </w:r>
      <w:r w:rsidR="00D90968" w:rsidRPr="00D90968">
        <w:rPr>
          <w:sz w:val="20"/>
        </w:rPr>
        <w:t xml:space="preserve"> Feb 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F3570"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7B0882">
        <w:rPr>
          <w:rFonts w:eastAsiaTheme="minorEastAsia" w:hint="eastAsia"/>
          <w:sz w:val="20"/>
          <w:lang w:val="en-US" w:eastAsia="zh-CN"/>
        </w:rPr>
        <w:t>General test setup</w:t>
      </w:r>
      <w:r w:rsidR="00B66EDD">
        <w:rPr>
          <w:rFonts w:eastAsiaTheme="minorEastAsia" w:hint="eastAsia"/>
          <w:sz w:val="20"/>
          <w:lang w:val="en-US" w:eastAsia="zh-CN"/>
        </w:rPr>
        <w:t xml:space="preserve"> and requirements applicability </w:t>
      </w:r>
      <w:r w:rsidR="007B0882">
        <w:rPr>
          <w:rFonts w:eastAsiaTheme="minorEastAsia" w:hint="eastAsia"/>
          <w:sz w:val="20"/>
          <w:lang w:val="en-US" w:eastAsia="zh-CN"/>
        </w:rPr>
        <w:t xml:space="preserve">for </w:t>
      </w:r>
      <w:r w:rsidR="00D809DE">
        <w:rPr>
          <w:rFonts w:eastAsiaTheme="minorEastAsia" w:hint="eastAsia"/>
          <w:sz w:val="20"/>
          <w:lang w:val="en-US" w:eastAsia="zh-CN"/>
        </w:rPr>
        <w:t>LAA</w:t>
      </w:r>
      <w:r w:rsidR="00F61AF9">
        <w:rPr>
          <w:rFonts w:eastAsiaTheme="minorEastAsia" w:hint="eastAsia"/>
          <w:sz w:val="20"/>
          <w:lang w:val="en-US" w:eastAsia="zh-CN"/>
        </w:rPr>
        <w:t xml:space="preserve"> demodulation </w:t>
      </w:r>
    </w:p>
    <w:p w:rsidR="00197EC1" w:rsidRPr="00E656CE"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E656CE">
        <w:rPr>
          <w:rFonts w:eastAsiaTheme="minorEastAsia" w:hint="eastAsia"/>
          <w:sz w:val="20"/>
          <w:lang w:val="en-US" w:eastAsia="zh-CN"/>
        </w:rPr>
        <w:t>6.13.4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2B25D8" w:rsidRPr="002B25D8" w:rsidRDefault="000D2F80" w:rsidP="002B25D8">
      <w:pPr>
        <w:rPr>
          <w:lang w:val="en-US"/>
        </w:rPr>
      </w:pPr>
      <w:r>
        <w:rPr>
          <w:rFonts w:hint="eastAsia"/>
          <w:lang w:val="en-US"/>
        </w:rPr>
        <w:t xml:space="preserve">In this paper, </w:t>
      </w:r>
      <w:r w:rsidR="00E16CDA">
        <w:rPr>
          <w:rFonts w:hint="eastAsia"/>
          <w:lang w:val="en-US"/>
        </w:rPr>
        <w:t xml:space="preserve">the </w:t>
      </w:r>
      <w:r w:rsidR="00977AE3">
        <w:rPr>
          <w:rFonts w:hint="eastAsia"/>
          <w:lang w:val="en-US"/>
        </w:rPr>
        <w:t>general setup for</w:t>
      </w:r>
      <w:r w:rsidR="000B506A">
        <w:rPr>
          <w:rFonts w:hint="eastAsia"/>
          <w:lang w:val="en-US"/>
        </w:rPr>
        <w:t xml:space="preserve"> LAA demodulation is discussed, and the requirements applicability is also discussed. </w:t>
      </w:r>
    </w:p>
    <w:p w:rsidR="008026B2" w:rsidRDefault="008026B2" w:rsidP="00D007E6">
      <w:pPr>
        <w:pStyle w:val="Heading1"/>
        <w:rPr>
          <w:lang w:val="en-US"/>
        </w:rPr>
      </w:pPr>
      <w:r>
        <w:rPr>
          <w:lang w:val="en-US"/>
        </w:rPr>
        <w:t>S</w:t>
      </w:r>
      <w:r>
        <w:rPr>
          <w:rFonts w:hint="eastAsia"/>
          <w:lang w:val="en-US"/>
        </w:rPr>
        <w:t>ystem setup</w:t>
      </w:r>
      <w:r w:rsidR="00B2078D">
        <w:rPr>
          <w:rFonts w:hint="eastAsia"/>
          <w:lang w:val="en-US"/>
        </w:rPr>
        <w:t xml:space="preserve"> for LAA demodulation</w:t>
      </w:r>
    </w:p>
    <w:p w:rsidR="008026B2" w:rsidRDefault="00F554A4" w:rsidP="00F554A4">
      <w:pPr>
        <w:pStyle w:val="Heading2"/>
        <w:rPr>
          <w:lang w:val="en-US"/>
        </w:rPr>
      </w:pPr>
      <w:r>
        <w:rPr>
          <w:lang w:val="en-US"/>
        </w:rPr>
        <w:t>B</w:t>
      </w:r>
      <w:r>
        <w:rPr>
          <w:rFonts w:hint="eastAsia"/>
          <w:lang w:val="en-US"/>
        </w:rPr>
        <w:t>andwidth combination</w:t>
      </w:r>
    </w:p>
    <w:p w:rsidR="004C03A4" w:rsidRDefault="003F4FEB" w:rsidP="0037020E">
      <w:pPr>
        <w:rPr>
          <w:lang w:val="en-US"/>
        </w:rPr>
      </w:pPr>
      <w:r>
        <w:rPr>
          <w:rFonts w:hint="eastAsia"/>
          <w:lang w:val="en-US"/>
        </w:rPr>
        <w:t xml:space="preserve">For the bandwidth combination, in RF, the following </w:t>
      </w:r>
      <w:r w:rsidR="004C03A4">
        <w:rPr>
          <w:lang w:val="en-US"/>
        </w:rPr>
        <w:t>combinations have</w:t>
      </w:r>
      <w:r>
        <w:rPr>
          <w:rFonts w:hint="eastAsia"/>
          <w:lang w:val="en-US"/>
        </w:rPr>
        <w:t xml:space="preserve"> been approved for LAA</w:t>
      </w:r>
      <w:r w:rsidR="00754167">
        <w:rPr>
          <w:rFonts w:hint="eastAsia"/>
          <w:lang w:val="en-US"/>
        </w:rPr>
        <w:t xml:space="preserve"> in RAN4#77 meeting</w:t>
      </w:r>
      <w:r>
        <w:rPr>
          <w:rFonts w:hint="eastAsia"/>
          <w:lang w:val="en-US"/>
        </w:rPr>
        <w:t>:</w:t>
      </w:r>
    </w:p>
    <w:p w:rsidR="0037020E" w:rsidRPr="004C03A4" w:rsidRDefault="004C03A4" w:rsidP="0012280B">
      <w:pPr>
        <w:pStyle w:val="ListParagraph"/>
        <w:numPr>
          <w:ilvl w:val="0"/>
          <w:numId w:val="3"/>
        </w:numPr>
        <w:ind w:firstLineChars="0"/>
        <w:rPr>
          <w:lang w:val="en-US"/>
        </w:rPr>
      </w:pPr>
      <w:r>
        <w:rPr>
          <w:rFonts w:hint="eastAsia"/>
          <w:lang w:val="en-US"/>
        </w:rPr>
        <w:t>S</w:t>
      </w:r>
      <w:r w:rsidR="0037020E" w:rsidRPr="004C03A4">
        <w:rPr>
          <w:lang w:val="en-US"/>
        </w:rPr>
        <w:t>ome CA combinations including B46 up to 2CC (e.g. CA_1A-46A)</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_Ref441763019 \r \h</w:instrText>
      </w:r>
      <w:r w:rsidR="00754167">
        <w:rPr>
          <w:lang w:val="en-US"/>
        </w:rPr>
        <w:instrText xml:space="preserve"> </w:instrText>
      </w:r>
      <w:r w:rsidR="00754167">
        <w:rPr>
          <w:lang w:val="en-US"/>
        </w:rPr>
      </w:r>
      <w:r w:rsidR="00754167">
        <w:rPr>
          <w:lang w:val="en-US"/>
        </w:rPr>
        <w:fldChar w:fldCharType="separate"/>
      </w:r>
      <w:r w:rsidR="0060134A">
        <w:rPr>
          <w:lang w:val="en-US"/>
        </w:rPr>
        <w:t>[1]</w:t>
      </w:r>
      <w:r w:rsidR="00754167">
        <w:rPr>
          <w:lang w:val="en-US"/>
        </w:rPr>
        <w:fldChar w:fldCharType="end"/>
      </w:r>
    </w:p>
    <w:p w:rsidR="0037020E" w:rsidRDefault="0037020E" w:rsidP="0012280B">
      <w:pPr>
        <w:pStyle w:val="ListParagraph"/>
        <w:numPr>
          <w:ilvl w:val="0"/>
          <w:numId w:val="3"/>
        </w:numPr>
        <w:ind w:firstLineChars="0"/>
        <w:rPr>
          <w:lang w:val="en-US"/>
        </w:rPr>
      </w:pPr>
      <w:r w:rsidRPr="0037020E">
        <w:rPr>
          <w:lang w:val="en-US"/>
        </w:rPr>
        <w:t>CA_1A-46C</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_Ref441763028 \r \h</w:instrText>
      </w:r>
      <w:r w:rsidR="00754167">
        <w:rPr>
          <w:lang w:val="en-US"/>
        </w:rPr>
        <w:instrText xml:space="preserve"> </w:instrText>
      </w:r>
      <w:r w:rsidR="00754167">
        <w:rPr>
          <w:lang w:val="en-US"/>
        </w:rPr>
      </w:r>
      <w:r w:rsidR="00754167">
        <w:rPr>
          <w:lang w:val="en-US"/>
        </w:rPr>
        <w:fldChar w:fldCharType="separate"/>
      </w:r>
      <w:r w:rsidR="0060134A">
        <w:rPr>
          <w:lang w:val="en-US"/>
        </w:rPr>
        <w:t>[2]</w:t>
      </w:r>
      <w:r w:rsidR="00754167">
        <w:rPr>
          <w:lang w:val="en-US"/>
        </w:rPr>
        <w:fldChar w:fldCharType="end"/>
      </w:r>
    </w:p>
    <w:p w:rsidR="0037020E" w:rsidRDefault="0037020E" w:rsidP="0012280B">
      <w:pPr>
        <w:pStyle w:val="ListParagraph"/>
        <w:numPr>
          <w:ilvl w:val="0"/>
          <w:numId w:val="3"/>
        </w:numPr>
        <w:ind w:firstLineChars="0"/>
        <w:rPr>
          <w:lang w:val="en-US"/>
        </w:rPr>
      </w:pPr>
      <w:r w:rsidRPr="00F554A4">
        <w:rPr>
          <w:lang w:val="en-US"/>
        </w:rPr>
        <w:t>CA_1A-46D</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_Ref441763033 \r \h</w:instrText>
      </w:r>
      <w:r w:rsidR="00754167">
        <w:rPr>
          <w:lang w:val="en-US"/>
        </w:rPr>
        <w:instrText xml:space="preserve"> </w:instrText>
      </w:r>
      <w:r w:rsidR="00754167">
        <w:rPr>
          <w:lang w:val="en-US"/>
        </w:rPr>
      </w:r>
      <w:r w:rsidR="00754167">
        <w:rPr>
          <w:lang w:val="en-US"/>
        </w:rPr>
        <w:fldChar w:fldCharType="separate"/>
      </w:r>
      <w:r w:rsidR="0060134A">
        <w:rPr>
          <w:lang w:val="en-US"/>
        </w:rPr>
        <w:t>[3]</w:t>
      </w:r>
      <w:r w:rsidR="00754167">
        <w:rPr>
          <w:lang w:val="en-US"/>
        </w:rPr>
        <w:fldChar w:fldCharType="end"/>
      </w:r>
    </w:p>
    <w:p w:rsidR="0037020E" w:rsidRDefault="0037020E" w:rsidP="0012280B">
      <w:pPr>
        <w:pStyle w:val="ListParagraph"/>
        <w:numPr>
          <w:ilvl w:val="0"/>
          <w:numId w:val="3"/>
        </w:numPr>
        <w:ind w:firstLineChars="0"/>
        <w:rPr>
          <w:lang w:val="en-US"/>
        </w:rPr>
      </w:pPr>
      <w:r w:rsidRPr="00F554A4">
        <w:rPr>
          <w:lang w:val="en-US"/>
        </w:rPr>
        <w:t>CA_1A-46E</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_Ref441763040 \r \h</w:instrText>
      </w:r>
      <w:r w:rsidR="00754167">
        <w:rPr>
          <w:lang w:val="en-US"/>
        </w:rPr>
        <w:instrText xml:space="preserve"> </w:instrText>
      </w:r>
      <w:r w:rsidR="00754167">
        <w:rPr>
          <w:lang w:val="en-US"/>
        </w:rPr>
      </w:r>
      <w:r w:rsidR="00754167">
        <w:rPr>
          <w:lang w:val="en-US"/>
        </w:rPr>
        <w:fldChar w:fldCharType="separate"/>
      </w:r>
      <w:r w:rsidR="0060134A">
        <w:rPr>
          <w:lang w:val="en-US"/>
        </w:rPr>
        <w:t>[4]</w:t>
      </w:r>
      <w:r w:rsidR="00754167">
        <w:rPr>
          <w:lang w:val="en-US"/>
        </w:rPr>
        <w:fldChar w:fldCharType="end"/>
      </w:r>
    </w:p>
    <w:p w:rsidR="0037020E" w:rsidRDefault="0037020E" w:rsidP="0012280B">
      <w:pPr>
        <w:pStyle w:val="ListParagraph"/>
        <w:numPr>
          <w:ilvl w:val="0"/>
          <w:numId w:val="3"/>
        </w:numPr>
        <w:ind w:firstLineChars="0"/>
        <w:rPr>
          <w:lang w:val="en-US"/>
        </w:rPr>
      </w:pPr>
      <w:r w:rsidRPr="00F554A4">
        <w:rPr>
          <w:lang w:val="en-US"/>
        </w:rPr>
        <w:t>CA_3A-46C</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_Ref441763046 \r \h</w:instrText>
      </w:r>
      <w:r w:rsidR="00754167">
        <w:rPr>
          <w:lang w:val="en-US"/>
        </w:rPr>
        <w:instrText xml:space="preserve"> </w:instrText>
      </w:r>
      <w:r w:rsidR="00754167">
        <w:rPr>
          <w:lang w:val="en-US"/>
        </w:rPr>
      </w:r>
      <w:r w:rsidR="00754167">
        <w:rPr>
          <w:lang w:val="en-US"/>
        </w:rPr>
        <w:fldChar w:fldCharType="separate"/>
      </w:r>
      <w:r w:rsidR="0060134A">
        <w:rPr>
          <w:lang w:val="en-US"/>
        </w:rPr>
        <w:t>[5]</w:t>
      </w:r>
      <w:r w:rsidR="00754167">
        <w:rPr>
          <w:lang w:val="en-US"/>
        </w:rPr>
        <w:fldChar w:fldCharType="end"/>
      </w:r>
    </w:p>
    <w:p w:rsidR="0037020E" w:rsidRPr="0037020E" w:rsidRDefault="0037020E" w:rsidP="0012280B">
      <w:pPr>
        <w:pStyle w:val="ListParagraph"/>
        <w:numPr>
          <w:ilvl w:val="0"/>
          <w:numId w:val="3"/>
        </w:numPr>
        <w:ind w:firstLineChars="0"/>
        <w:rPr>
          <w:lang w:val="en-US"/>
        </w:rPr>
      </w:pPr>
      <w:r w:rsidRPr="0037020E">
        <w:rPr>
          <w:lang w:val="en-US"/>
        </w:rPr>
        <w:t>CA_3A-46D</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_Ref441763052 \r \h</w:instrText>
      </w:r>
      <w:r w:rsidR="00754167">
        <w:rPr>
          <w:lang w:val="en-US"/>
        </w:rPr>
        <w:instrText xml:space="preserve"> </w:instrText>
      </w:r>
      <w:r w:rsidR="00754167">
        <w:rPr>
          <w:lang w:val="en-US"/>
        </w:rPr>
      </w:r>
      <w:r w:rsidR="00754167">
        <w:rPr>
          <w:lang w:val="en-US"/>
        </w:rPr>
        <w:fldChar w:fldCharType="separate"/>
      </w:r>
      <w:r w:rsidR="0060134A">
        <w:rPr>
          <w:lang w:val="en-US"/>
        </w:rPr>
        <w:t>[6]</w:t>
      </w:r>
      <w:r w:rsidR="00754167">
        <w:rPr>
          <w:lang w:val="en-US"/>
        </w:rPr>
        <w:fldChar w:fldCharType="end"/>
      </w:r>
    </w:p>
    <w:p w:rsidR="0037020E" w:rsidRDefault="0037020E" w:rsidP="0012280B">
      <w:pPr>
        <w:pStyle w:val="ListParagraph"/>
        <w:numPr>
          <w:ilvl w:val="0"/>
          <w:numId w:val="3"/>
        </w:numPr>
        <w:ind w:firstLineChars="0"/>
        <w:rPr>
          <w:lang w:val="en-US"/>
        </w:rPr>
      </w:pPr>
      <w:r w:rsidRPr="0037020E">
        <w:rPr>
          <w:lang w:val="en-US"/>
        </w:rPr>
        <w:t>CA_3A-46E</w:t>
      </w:r>
      <w:r w:rsidR="00754167">
        <w:rPr>
          <w:rFonts w:hint="eastAsia"/>
          <w:lang w:val="en-US"/>
        </w:rPr>
        <w:t xml:space="preserve"> </w:t>
      </w:r>
      <w:r w:rsidR="00754167">
        <w:rPr>
          <w:lang w:val="en-US"/>
        </w:rPr>
        <w:fldChar w:fldCharType="begin"/>
      </w:r>
      <w:r w:rsidR="00754167">
        <w:rPr>
          <w:lang w:val="en-US"/>
        </w:rPr>
        <w:instrText xml:space="preserve"> </w:instrText>
      </w:r>
      <w:r w:rsidR="00754167">
        <w:rPr>
          <w:rFonts w:hint="eastAsia"/>
          <w:lang w:val="en-US"/>
        </w:rPr>
        <w:instrText>REF _Ref441763059 \r \h</w:instrText>
      </w:r>
      <w:r w:rsidR="00754167">
        <w:rPr>
          <w:lang w:val="en-US"/>
        </w:rPr>
        <w:instrText xml:space="preserve"> </w:instrText>
      </w:r>
      <w:r w:rsidR="00754167">
        <w:rPr>
          <w:lang w:val="en-US"/>
        </w:rPr>
      </w:r>
      <w:r w:rsidR="00754167">
        <w:rPr>
          <w:lang w:val="en-US"/>
        </w:rPr>
        <w:fldChar w:fldCharType="separate"/>
      </w:r>
      <w:r w:rsidR="0060134A">
        <w:rPr>
          <w:lang w:val="en-US"/>
        </w:rPr>
        <w:t>[7]</w:t>
      </w:r>
      <w:r w:rsidR="00754167">
        <w:rPr>
          <w:lang w:val="en-US"/>
        </w:rPr>
        <w:fldChar w:fldCharType="end"/>
      </w:r>
    </w:p>
    <w:p w:rsidR="00754167" w:rsidRDefault="00754167" w:rsidP="00754167">
      <w:pPr>
        <w:rPr>
          <w:lang w:val="en-US"/>
        </w:rPr>
      </w:pPr>
      <w:r>
        <w:rPr>
          <w:rFonts w:hint="eastAsia"/>
          <w:lang w:val="en-US"/>
        </w:rPr>
        <w:t xml:space="preserve">Based on this approved combination, we can see that up to 4 LAA </w:t>
      </w:r>
      <w:proofErr w:type="spellStart"/>
      <w:r>
        <w:rPr>
          <w:rFonts w:hint="eastAsia"/>
          <w:lang w:val="en-US"/>
        </w:rPr>
        <w:t>Scells</w:t>
      </w:r>
      <w:proofErr w:type="spellEnd"/>
      <w:r>
        <w:rPr>
          <w:rFonts w:hint="eastAsia"/>
          <w:lang w:val="en-US"/>
        </w:rPr>
        <w:t xml:space="preserve"> can be configured in Rel-13 and one primary cell can be configured. Hence, in demodulation, the performance requirements shall cover up to 4 LAA </w:t>
      </w:r>
      <w:proofErr w:type="spellStart"/>
      <w:r>
        <w:rPr>
          <w:rFonts w:hint="eastAsia"/>
          <w:lang w:val="en-US"/>
        </w:rPr>
        <w:t>Scells</w:t>
      </w:r>
      <w:proofErr w:type="spellEnd"/>
      <w:r>
        <w:rPr>
          <w:rFonts w:hint="eastAsia"/>
          <w:lang w:val="en-US"/>
        </w:rPr>
        <w:t xml:space="preserve"> in addition to one primary cell.</w:t>
      </w:r>
    </w:p>
    <w:p w:rsidR="00754167" w:rsidRDefault="00754167" w:rsidP="00754167">
      <w:pPr>
        <w:pStyle w:val="Caption"/>
        <w:jc w:val="both"/>
        <w:rPr>
          <w:lang w:val="en-US"/>
        </w:rPr>
      </w:pPr>
      <w:proofErr w:type="gramStart"/>
      <w:r>
        <w:t xml:space="preserve">Proposal  </w:t>
      </w:r>
      <w:proofErr w:type="gramEnd"/>
      <w:r>
        <w:fldChar w:fldCharType="begin"/>
      </w:r>
      <w:r>
        <w:instrText xml:space="preserve"> SEQ Proposal_ \* ARABIC </w:instrText>
      </w:r>
      <w:r>
        <w:fldChar w:fldCharType="separate"/>
      </w:r>
      <w:r w:rsidR="0060134A">
        <w:rPr>
          <w:noProof/>
        </w:rPr>
        <w:t>1</w:t>
      </w:r>
      <w:r>
        <w:fldChar w:fldCharType="end"/>
      </w:r>
      <w:r>
        <w:rPr>
          <w:rFonts w:hint="eastAsia"/>
          <w:lang w:val="en-US"/>
        </w:rPr>
        <w:t xml:space="preserve">: The performance requirements shall cover up to 4 LAA </w:t>
      </w:r>
      <w:proofErr w:type="spellStart"/>
      <w:r>
        <w:rPr>
          <w:rFonts w:hint="eastAsia"/>
          <w:lang w:val="en-US"/>
        </w:rPr>
        <w:t>Scells</w:t>
      </w:r>
      <w:proofErr w:type="spellEnd"/>
      <w:r>
        <w:rPr>
          <w:rFonts w:hint="eastAsia"/>
          <w:lang w:val="en-US"/>
        </w:rPr>
        <w:t xml:space="preserve"> and one primary cell </w:t>
      </w:r>
    </w:p>
    <w:p w:rsidR="00B1450B" w:rsidRDefault="00B1450B" w:rsidP="00B1450B">
      <w:pPr>
        <w:pStyle w:val="Heading2"/>
        <w:rPr>
          <w:lang w:val="en-US"/>
        </w:rPr>
      </w:pPr>
      <w:r>
        <w:rPr>
          <w:rFonts w:hint="eastAsia"/>
          <w:lang w:val="en-US"/>
        </w:rPr>
        <w:t>CRS structure configuration</w:t>
      </w:r>
    </w:p>
    <w:p w:rsidR="00F06C2F" w:rsidRDefault="00F06C2F" w:rsidP="00F06C2F">
      <w:pPr>
        <w:tabs>
          <w:tab w:val="num" w:pos="720"/>
        </w:tabs>
        <w:rPr>
          <w:lang w:val="en-US"/>
        </w:rPr>
      </w:pPr>
      <w:r>
        <w:rPr>
          <w:rFonts w:hint="eastAsia"/>
          <w:lang w:val="en-US"/>
        </w:rPr>
        <w:t xml:space="preserve">For CRS </w:t>
      </w:r>
      <w:r>
        <w:rPr>
          <w:lang w:val="en-US"/>
        </w:rPr>
        <w:t>structure</w:t>
      </w:r>
      <w:r>
        <w:rPr>
          <w:rFonts w:hint="eastAsia"/>
          <w:lang w:val="en-US"/>
        </w:rPr>
        <w:t xml:space="preserve"> configuration, in RAN1 and RAN2, they define new </w:t>
      </w:r>
      <w:r w:rsidR="00620422" w:rsidRPr="00F06C2F">
        <w:rPr>
          <w:lang w:val="en-US"/>
        </w:rPr>
        <w:t xml:space="preserve">RRC signaling indicates which </w:t>
      </w:r>
      <w:proofErr w:type="spellStart"/>
      <w:r w:rsidR="00620422" w:rsidRPr="00F06C2F">
        <w:rPr>
          <w:lang w:val="en-US"/>
        </w:rPr>
        <w:t>subframe</w:t>
      </w:r>
      <w:proofErr w:type="spellEnd"/>
      <w:r w:rsidR="00620422" w:rsidRPr="00F06C2F">
        <w:rPr>
          <w:lang w:val="en-US"/>
        </w:rPr>
        <w:t xml:space="preserve"> has one or two symbol CRS structure or all symbols CRS structure</w:t>
      </w:r>
      <w:r>
        <w:rPr>
          <w:rFonts w:hint="eastAsia"/>
          <w:lang w:val="en-US"/>
        </w:rPr>
        <w:t xml:space="preserve">. For one or two symbol CRS structure, there </w:t>
      </w:r>
      <w:proofErr w:type="gramStart"/>
      <w:r>
        <w:rPr>
          <w:rFonts w:hint="eastAsia"/>
          <w:lang w:val="en-US"/>
        </w:rPr>
        <w:t>are</w:t>
      </w:r>
      <w:proofErr w:type="gramEnd"/>
      <w:r>
        <w:rPr>
          <w:rFonts w:hint="eastAsia"/>
          <w:lang w:val="en-US"/>
        </w:rPr>
        <w:t xml:space="preserve"> only one or two CRS symbols will be transmitted in the available </w:t>
      </w:r>
      <w:proofErr w:type="spellStart"/>
      <w:r>
        <w:rPr>
          <w:rFonts w:hint="eastAsia"/>
          <w:lang w:val="en-US"/>
        </w:rPr>
        <w:t>subframe</w:t>
      </w:r>
      <w:proofErr w:type="spellEnd"/>
      <w:r>
        <w:rPr>
          <w:rFonts w:hint="eastAsia"/>
          <w:lang w:val="en-US"/>
        </w:rPr>
        <w:t xml:space="preserve">. For all symbols CRS structure, all OFDM symbols with CRS will be transmitted. </w:t>
      </w:r>
    </w:p>
    <w:p w:rsidR="00F06C2F" w:rsidRDefault="00F06C2F" w:rsidP="00F06C2F">
      <w:pPr>
        <w:tabs>
          <w:tab w:val="num" w:pos="720"/>
        </w:tabs>
        <w:rPr>
          <w:lang w:val="en-US"/>
        </w:rPr>
      </w:pPr>
      <w:r>
        <w:rPr>
          <w:rFonts w:hint="eastAsia"/>
          <w:lang w:val="en-US"/>
        </w:rPr>
        <w:t xml:space="preserve">For CRS-based transmission, all symbols CRS structure is the pre-condition. For DMRS-based transmission, it is not necessary to configure all symbols CRS structure. With one or two CRS structure in LAA, we can increase the throughput and reduce the interference in </w:t>
      </w:r>
      <w:r>
        <w:rPr>
          <w:lang w:val="en-US"/>
        </w:rPr>
        <w:t>practical</w:t>
      </w:r>
      <w:r>
        <w:rPr>
          <w:rFonts w:hint="eastAsia"/>
          <w:lang w:val="en-US"/>
        </w:rPr>
        <w:t xml:space="preserve"> system. Hence, we have the following proposal:</w:t>
      </w:r>
    </w:p>
    <w:p w:rsidR="00F06C2F" w:rsidRDefault="00F06C2F" w:rsidP="00F06C2F">
      <w:pPr>
        <w:pStyle w:val="Caption"/>
        <w:jc w:val="left"/>
      </w:pPr>
      <w:proofErr w:type="gramStart"/>
      <w:r>
        <w:t xml:space="preserve">Proposal  </w:t>
      </w:r>
      <w:proofErr w:type="gramEnd"/>
      <w:r>
        <w:fldChar w:fldCharType="begin"/>
      </w:r>
      <w:r>
        <w:instrText xml:space="preserve"> SEQ Proposal_ \* ARABIC </w:instrText>
      </w:r>
      <w:r>
        <w:fldChar w:fldCharType="separate"/>
      </w:r>
      <w:r w:rsidR="0060134A">
        <w:rPr>
          <w:noProof/>
        </w:rPr>
        <w:t>2</w:t>
      </w:r>
      <w:r>
        <w:fldChar w:fldCharType="end"/>
      </w:r>
      <w:r>
        <w:rPr>
          <w:rFonts w:hint="eastAsia"/>
        </w:rPr>
        <w:t xml:space="preserve">: One or two CRS symbols structure is configured for </w:t>
      </w:r>
      <w:r w:rsidR="009A4482">
        <w:rPr>
          <w:rFonts w:hint="eastAsia"/>
        </w:rPr>
        <w:t>DMRS</w:t>
      </w:r>
      <w:r>
        <w:rPr>
          <w:rFonts w:hint="eastAsia"/>
        </w:rPr>
        <w:t xml:space="preserve">-based transmission mode and all CRS symbols structure is configured for </w:t>
      </w:r>
      <w:r w:rsidR="009A4482">
        <w:rPr>
          <w:rFonts w:hint="eastAsia"/>
        </w:rPr>
        <w:t>CRS</w:t>
      </w:r>
      <w:r>
        <w:rPr>
          <w:rFonts w:hint="eastAsia"/>
        </w:rPr>
        <w:t>-based transmission mode</w:t>
      </w:r>
    </w:p>
    <w:p w:rsidR="001F65E3" w:rsidRDefault="001F65E3" w:rsidP="001F65E3">
      <w:pPr>
        <w:rPr>
          <w:lang w:val="en-US"/>
        </w:rPr>
      </w:pPr>
      <w:r>
        <w:rPr>
          <w:rFonts w:hint="eastAsia"/>
          <w:lang w:val="en-US"/>
        </w:rPr>
        <w:t xml:space="preserve">For PDCCH, since CRS is needed for </w:t>
      </w:r>
      <w:proofErr w:type="gramStart"/>
      <w:r>
        <w:rPr>
          <w:rFonts w:hint="eastAsia"/>
          <w:lang w:val="en-US"/>
        </w:rPr>
        <w:t>its</w:t>
      </w:r>
      <w:proofErr w:type="gramEnd"/>
      <w:r>
        <w:rPr>
          <w:rFonts w:hint="eastAsia"/>
          <w:lang w:val="en-US"/>
        </w:rPr>
        <w:t xml:space="preserve"> decoding. But for </w:t>
      </w:r>
      <w:proofErr w:type="spellStart"/>
      <w:r>
        <w:rPr>
          <w:rFonts w:hint="eastAsia"/>
          <w:lang w:val="en-US"/>
        </w:rPr>
        <w:t>ePDCCH</w:t>
      </w:r>
      <w:proofErr w:type="spellEnd"/>
      <w:r>
        <w:rPr>
          <w:rFonts w:hint="eastAsia"/>
          <w:lang w:val="en-US"/>
        </w:rPr>
        <w:t>, the CRS is not a must. Hence, for control channel, we can have the following configuration:</w:t>
      </w:r>
    </w:p>
    <w:p w:rsidR="001F65E3" w:rsidRDefault="001F65E3" w:rsidP="001F65E3">
      <w:pPr>
        <w:pStyle w:val="Caption"/>
        <w:jc w:val="left"/>
      </w:pPr>
      <w:proofErr w:type="gramStart"/>
      <w:r>
        <w:t xml:space="preserve">Proposal  </w:t>
      </w:r>
      <w:proofErr w:type="gramEnd"/>
      <w:r>
        <w:fldChar w:fldCharType="begin"/>
      </w:r>
      <w:r>
        <w:instrText xml:space="preserve"> SEQ Proposal_ \* ARABIC </w:instrText>
      </w:r>
      <w:r>
        <w:fldChar w:fldCharType="separate"/>
      </w:r>
      <w:r w:rsidR="0060134A">
        <w:rPr>
          <w:noProof/>
        </w:rPr>
        <w:t>3</w:t>
      </w:r>
      <w:r>
        <w:fldChar w:fldCharType="end"/>
      </w:r>
      <w:r>
        <w:rPr>
          <w:rFonts w:hint="eastAsia"/>
        </w:rPr>
        <w:t xml:space="preserve">: One or two CRS symbols structure is configured for </w:t>
      </w:r>
      <w:proofErr w:type="spellStart"/>
      <w:r>
        <w:rPr>
          <w:rFonts w:hint="eastAsia"/>
        </w:rPr>
        <w:t>ePDCCH</w:t>
      </w:r>
      <w:proofErr w:type="spellEnd"/>
      <w:r>
        <w:rPr>
          <w:rFonts w:hint="eastAsia"/>
        </w:rPr>
        <w:t xml:space="preserve"> performance and all CRS symbols structure is configured for PDCCH performance</w:t>
      </w:r>
    </w:p>
    <w:p w:rsidR="0064488B" w:rsidRDefault="0064488B" w:rsidP="005C0E5F">
      <w:pPr>
        <w:pStyle w:val="Heading2"/>
        <w:rPr>
          <w:lang w:val="en-US"/>
        </w:rPr>
      </w:pPr>
      <w:r>
        <w:rPr>
          <w:rFonts w:hint="eastAsia"/>
          <w:lang w:val="en-US"/>
        </w:rPr>
        <w:lastRenderedPageBreak/>
        <w:t>Antenna configuration</w:t>
      </w:r>
    </w:p>
    <w:p w:rsidR="0064488B" w:rsidRDefault="0064488B" w:rsidP="0064488B">
      <w:pPr>
        <w:rPr>
          <w:lang w:val="en-US"/>
        </w:rPr>
      </w:pPr>
      <w:r>
        <w:rPr>
          <w:rFonts w:hint="eastAsia"/>
          <w:lang w:val="en-US"/>
        </w:rPr>
        <w:t xml:space="preserve">For antenna </w:t>
      </w:r>
      <w:r>
        <w:rPr>
          <w:lang w:val="en-US"/>
        </w:rPr>
        <w:t>configuration</w:t>
      </w:r>
      <w:r>
        <w:rPr>
          <w:rFonts w:hint="eastAsia"/>
          <w:lang w:val="en-US"/>
        </w:rPr>
        <w:t xml:space="preserve">, 2x2 can be set as a </w:t>
      </w:r>
      <w:r w:rsidR="00C1173A">
        <w:rPr>
          <w:rFonts w:hint="eastAsia"/>
          <w:lang w:val="en-US"/>
        </w:rPr>
        <w:t xml:space="preserve">basic </w:t>
      </w:r>
      <w:r>
        <w:rPr>
          <w:rFonts w:hint="eastAsia"/>
          <w:lang w:val="en-US"/>
        </w:rPr>
        <w:t>setup.</w:t>
      </w:r>
      <w:r w:rsidR="00C1173A">
        <w:rPr>
          <w:rFonts w:hint="eastAsia"/>
          <w:lang w:val="en-US"/>
        </w:rPr>
        <w:t xml:space="preserve"> It can be used for both (e</w:t>
      </w:r>
      <w:proofErr w:type="gramStart"/>
      <w:r w:rsidR="00C1173A">
        <w:rPr>
          <w:rFonts w:hint="eastAsia"/>
          <w:lang w:val="en-US"/>
        </w:rPr>
        <w:t>)PDCCH</w:t>
      </w:r>
      <w:proofErr w:type="gramEnd"/>
      <w:r w:rsidR="00C1173A">
        <w:rPr>
          <w:rFonts w:hint="eastAsia"/>
          <w:lang w:val="en-US"/>
        </w:rPr>
        <w:t xml:space="preserve"> </w:t>
      </w:r>
      <w:r w:rsidR="00C1173A">
        <w:rPr>
          <w:lang w:val="en-US"/>
        </w:rPr>
        <w:t>demodulation</w:t>
      </w:r>
      <w:r w:rsidR="00C1173A">
        <w:rPr>
          <w:rFonts w:hint="eastAsia"/>
          <w:lang w:val="en-US"/>
        </w:rPr>
        <w:t xml:space="preserve"> and PDSCH </w:t>
      </w:r>
      <w:r w:rsidR="00C1173A">
        <w:rPr>
          <w:lang w:val="en-US"/>
        </w:rPr>
        <w:t>demodulation</w:t>
      </w:r>
      <w:r w:rsidR="00C1173A">
        <w:rPr>
          <w:rFonts w:hint="eastAsia"/>
          <w:lang w:val="en-US"/>
        </w:rPr>
        <w:t xml:space="preserve">. </w:t>
      </w:r>
      <w:r>
        <w:rPr>
          <w:rFonts w:hint="eastAsia"/>
          <w:lang w:val="en-US"/>
        </w:rPr>
        <w:t xml:space="preserve"> For 4x2 </w:t>
      </w:r>
      <w:proofErr w:type="gramStart"/>
      <w:r>
        <w:rPr>
          <w:rFonts w:hint="eastAsia"/>
          <w:lang w:val="en-US"/>
        </w:rPr>
        <w:t>case</w:t>
      </w:r>
      <w:proofErr w:type="gramEnd"/>
      <w:r>
        <w:rPr>
          <w:rFonts w:hint="eastAsia"/>
          <w:lang w:val="en-US"/>
        </w:rPr>
        <w:t xml:space="preserve">, </w:t>
      </w:r>
      <w:r>
        <w:rPr>
          <w:lang w:val="en-US"/>
        </w:rPr>
        <w:t>more</w:t>
      </w:r>
      <w:r>
        <w:rPr>
          <w:rFonts w:hint="eastAsia"/>
          <w:lang w:val="en-US"/>
        </w:rPr>
        <w:t xml:space="preserve"> and more operators want to have. It is better to have </w:t>
      </w:r>
      <w:r w:rsidR="009C74D0">
        <w:rPr>
          <w:rFonts w:hint="eastAsia"/>
          <w:lang w:val="en-US"/>
        </w:rPr>
        <w:t xml:space="preserve">at least one </w:t>
      </w:r>
      <w:r>
        <w:rPr>
          <w:rFonts w:hint="eastAsia"/>
          <w:lang w:val="en-US"/>
        </w:rPr>
        <w:t xml:space="preserve">test case to cover 4x2 </w:t>
      </w:r>
      <w:r w:rsidR="009C74D0">
        <w:rPr>
          <w:lang w:val="en-US"/>
        </w:rPr>
        <w:t>cases</w:t>
      </w:r>
      <w:r>
        <w:rPr>
          <w:rFonts w:hint="eastAsia"/>
          <w:lang w:val="en-US"/>
        </w:rPr>
        <w:t xml:space="preserve"> as well. </w:t>
      </w:r>
      <w:r w:rsidR="009C74D0">
        <w:rPr>
          <w:rFonts w:hint="eastAsia"/>
          <w:lang w:val="en-US"/>
        </w:rPr>
        <w:t xml:space="preserve">In order to reduce the test number, one possible way to cover 4x2 case is </w:t>
      </w:r>
      <w:r w:rsidR="00C1173A">
        <w:rPr>
          <w:rFonts w:hint="eastAsia"/>
          <w:lang w:val="en-US"/>
        </w:rPr>
        <w:t>to introduce 4x2 case for</w:t>
      </w:r>
      <w:r w:rsidR="00262B97">
        <w:rPr>
          <w:rFonts w:hint="eastAsia"/>
          <w:lang w:val="en-US"/>
        </w:rPr>
        <w:t xml:space="preserve"> one </w:t>
      </w:r>
      <w:r w:rsidR="00C1173A">
        <w:rPr>
          <w:rFonts w:hint="eastAsia"/>
          <w:lang w:val="en-US"/>
        </w:rPr>
        <w:t>PDSCH</w:t>
      </w:r>
      <w:r w:rsidR="00262B97">
        <w:rPr>
          <w:rFonts w:hint="eastAsia"/>
          <w:lang w:val="en-US"/>
        </w:rPr>
        <w:t xml:space="preserve"> </w:t>
      </w:r>
      <w:r w:rsidR="00262B97">
        <w:rPr>
          <w:lang w:val="en-US"/>
        </w:rPr>
        <w:t>transmission</w:t>
      </w:r>
      <w:r w:rsidR="00262B97">
        <w:rPr>
          <w:rFonts w:hint="eastAsia"/>
          <w:lang w:val="en-US"/>
        </w:rPr>
        <w:t xml:space="preserve"> mode, for example TM4 case</w:t>
      </w:r>
      <w:r w:rsidR="00C1173A">
        <w:rPr>
          <w:rFonts w:hint="eastAsia"/>
          <w:lang w:val="en-US"/>
        </w:rPr>
        <w:t xml:space="preserve">. </w:t>
      </w:r>
    </w:p>
    <w:p w:rsidR="009C74D0" w:rsidRPr="009C74D0" w:rsidRDefault="009C74D0" w:rsidP="009C74D0">
      <w:pPr>
        <w:pStyle w:val="Caption"/>
        <w:jc w:val="left"/>
        <w:rPr>
          <w:lang w:val="en-US"/>
        </w:rPr>
      </w:pPr>
      <w:proofErr w:type="gramStart"/>
      <w:r>
        <w:t xml:space="preserve">Proposal  </w:t>
      </w:r>
      <w:proofErr w:type="gramEnd"/>
      <w:r>
        <w:fldChar w:fldCharType="begin"/>
      </w:r>
      <w:r>
        <w:instrText xml:space="preserve"> SEQ Proposal_ \* ARABIC </w:instrText>
      </w:r>
      <w:r>
        <w:fldChar w:fldCharType="separate"/>
      </w:r>
      <w:r w:rsidR="0060134A">
        <w:rPr>
          <w:noProof/>
        </w:rPr>
        <w:t>4</w:t>
      </w:r>
      <w:r>
        <w:fldChar w:fldCharType="end"/>
      </w:r>
      <w:r>
        <w:rPr>
          <w:rFonts w:hint="eastAsia"/>
        </w:rPr>
        <w:t xml:space="preserve">: </w:t>
      </w:r>
      <w:r w:rsidR="00A57C99">
        <w:rPr>
          <w:rFonts w:hint="eastAsia"/>
        </w:rPr>
        <w:t xml:space="preserve">2x2 can be set as the basic setup </w:t>
      </w:r>
      <w:r>
        <w:rPr>
          <w:rFonts w:hint="eastAsia"/>
        </w:rPr>
        <w:t xml:space="preserve">for </w:t>
      </w:r>
      <w:r w:rsidR="00A57C99">
        <w:rPr>
          <w:rFonts w:hint="eastAsia"/>
        </w:rPr>
        <w:t xml:space="preserve">all demodulation </w:t>
      </w:r>
      <w:r w:rsidR="00A57C99">
        <w:t>and</w:t>
      </w:r>
      <w:r w:rsidR="00A57C99">
        <w:rPr>
          <w:rFonts w:hint="eastAsia"/>
        </w:rPr>
        <w:t xml:space="preserve"> CSI, </w:t>
      </w:r>
      <w:r>
        <w:rPr>
          <w:rFonts w:hint="eastAsia"/>
        </w:rPr>
        <w:t>and it is better to have one</w:t>
      </w:r>
      <w:r w:rsidR="00A57C99">
        <w:rPr>
          <w:rFonts w:hint="eastAsia"/>
        </w:rPr>
        <w:t xml:space="preserve"> PDSCH </w:t>
      </w:r>
      <w:r>
        <w:rPr>
          <w:rFonts w:hint="eastAsia"/>
        </w:rPr>
        <w:t xml:space="preserve">test </w:t>
      </w:r>
      <w:r w:rsidR="00B85B27">
        <w:rPr>
          <w:rFonts w:hint="eastAsia"/>
        </w:rPr>
        <w:t>case to cover 4x2 case</w:t>
      </w:r>
      <w:r w:rsidR="00A57C99">
        <w:rPr>
          <w:rFonts w:hint="eastAsia"/>
        </w:rPr>
        <w:t xml:space="preserve"> (i.e., TM4)</w:t>
      </w:r>
      <w:r w:rsidR="00B85B27">
        <w:rPr>
          <w:rFonts w:hint="eastAsia"/>
        </w:rPr>
        <w:t>.</w:t>
      </w:r>
    </w:p>
    <w:p w:rsidR="001F65E3" w:rsidRDefault="005C0E5F" w:rsidP="005C0E5F">
      <w:pPr>
        <w:pStyle w:val="Heading2"/>
        <w:rPr>
          <w:lang w:val="en-US"/>
        </w:rPr>
      </w:pPr>
      <w:r w:rsidRPr="005C0E5F">
        <w:rPr>
          <w:rFonts w:hint="eastAsia"/>
          <w:lang w:val="en-US"/>
        </w:rPr>
        <w:t>Transmission mode</w:t>
      </w:r>
    </w:p>
    <w:p w:rsidR="005C0E5F" w:rsidRDefault="005C0E5F" w:rsidP="005C0E5F">
      <w:pPr>
        <w:rPr>
          <w:lang w:val="en-US"/>
        </w:rPr>
      </w:pPr>
      <w:r>
        <w:rPr>
          <w:rFonts w:hint="eastAsia"/>
          <w:lang w:val="en-US"/>
        </w:rPr>
        <w:t xml:space="preserve">According to RAN1 agreements in </w:t>
      </w:r>
      <w:r>
        <w:rPr>
          <w:lang w:val="en-US"/>
        </w:rPr>
        <w:fldChar w:fldCharType="begin"/>
      </w:r>
      <w:r>
        <w:rPr>
          <w:lang w:val="en-US"/>
        </w:rPr>
        <w:instrText xml:space="preserve"> </w:instrText>
      </w:r>
      <w:r>
        <w:rPr>
          <w:rFonts w:hint="eastAsia"/>
          <w:lang w:val="en-US"/>
        </w:rPr>
        <w:instrText>REF _Ref441764172 \r \h</w:instrText>
      </w:r>
      <w:r>
        <w:rPr>
          <w:lang w:val="en-US"/>
        </w:rPr>
        <w:instrText xml:space="preserve"> </w:instrText>
      </w:r>
      <w:r>
        <w:rPr>
          <w:lang w:val="en-US"/>
        </w:rPr>
      </w:r>
      <w:r>
        <w:rPr>
          <w:lang w:val="en-US"/>
        </w:rPr>
        <w:fldChar w:fldCharType="separate"/>
      </w:r>
      <w:r w:rsidR="0060134A">
        <w:rPr>
          <w:lang w:val="en-US"/>
        </w:rPr>
        <w:t>[8]</w:t>
      </w:r>
      <w:r>
        <w:rPr>
          <w:lang w:val="en-US"/>
        </w:rPr>
        <w:fldChar w:fldCharType="end"/>
      </w:r>
      <w:r w:rsidR="00A67EFE">
        <w:rPr>
          <w:rFonts w:hint="eastAsia"/>
          <w:lang w:val="en-US"/>
        </w:rPr>
        <w:t xml:space="preserve">, </w:t>
      </w:r>
      <w:r w:rsidR="00A67EFE">
        <w:rPr>
          <w:lang w:val="en-US"/>
        </w:rPr>
        <w:t>they</w:t>
      </w:r>
      <w:r w:rsidR="00A67EFE">
        <w:rPr>
          <w:rFonts w:hint="eastAsia"/>
          <w:lang w:val="en-US"/>
        </w:rPr>
        <w:t xml:space="preserve"> have the following agreements:</w:t>
      </w:r>
    </w:p>
    <w:p w:rsidR="00D9639E" w:rsidRPr="00A67EFE" w:rsidRDefault="00620422" w:rsidP="0012280B">
      <w:pPr>
        <w:pStyle w:val="ListParagraph"/>
        <w:numPr>
          <w:ilvl w:val="0"/>
          <w:numId w:val="4"/>
        </w:numPr>
        <w:ind w:firstLineChars="0"/>
        <w:rPr>
          <w:lang w:val="en-US"/>
        </w:rPr>
      </w:pPr>
      <w:r w:rsidRPr="00A67EFE">
        <w:rPr>
          <w:lang w:val="en-US"/>
        </w:rPr>
        <w:t xml:space="preserve">TM1, TM2, TM3, TM4, TM8, TM9, and TM10 are supported on LAA </w:t>
      </w:r>
      <w:proofErr w:type="spellStart"/>
      <w:r w:rsidRPr="00A67EFE">
        <w:rPr>
          <w:lang w:val="en-US"/>
        </w:rPr>
        <w:t>SCell</w:t>
      </w:r>
      <w:proofErr w:type="spellEnd"/>
      <w:r w:rsidRPr="00A67EFE">
        <w:rPr>
          <w:lang w:val="en-US"/>
        </w:rPr>
        <w:t xml:space="preserve"> from RAN1 specification point of views</w:t>
      </w:r>
    </w:p>
    <w:p w:rsidR="00D9639E" w:rsidRPr="00A67EFE" w:rsidRDefault="00620422" w:rsidP="0012280B">
      <w:pPr>
        <w:pStyle w:val="ListParagraph"/>
        <w:numPr>
          <w:ilvl w:val="2"/>
          <w:numId w:val="4"/>
        </w:numPr>
        <w:ind w:firstLineChars="0"/>
        <w:rPr>
          <w:lang w:val="en-US"/>
        </w:rPr>
      </w:pPr>
      <w:r w:rsidRPr="00A67EFE">
        <w:rPr>
          <w:lang w:val="en-US"/>
        </w:rPr>
        <w:t>TM10 supports at least QCL type A</w:t>
      </w:r>
      <w:r w:rsidRPr="00A67EFE">
        <w:rPr>
          <w:lang w:val="en-US"/>
        </w:rPr>
        <w:tab/>
      </w:r>
    </w:p>
    <w:p w:rsidR="00D9639E" w:rsidRPr="00A67EFE" w:rsidRDefault="00620422" w:rsidP="0012280B">
      <w:pPr>
        <w:pStyle w:val="ListParagraph"/>
        <w:numPr>
          <w:ilvl w:val="4"/>
          <w:numId w:val="4"/>
        </w:numPr>
        <w:ind w:firstLineChars="0"/>
        <w:rPr>
          <w:lang w:val="en-US"/>
        </w:rPr>
      </w:pPr>
      <w:r w:rsidRPr="00A67EFE">
        <w:rPr>
          <w:lang w:val="en-US"/>
        </w:rPr>
        <w:t>FFS: QCL type B</w:t>
      </w:r>
    </w:p>
    <w:p w:rsidR="00D9639E" w:rsidRPr="00A67EFE" w:rsidRDefault="00620422" w:rsidP="0012280B">
      <w:pPr>
        <w:pStyle w:val="ListParagraph"/>
        <w:numPr>
          <w:ilvl w:val="2"/>
          <w:numId w:val="4"/>
        </w:numPr>
        <w:ind w:firstLineChars="0"/>
        <w:rPr>
          <w:lang w:val="en-US"/>
        </w:rPr>
      </w:pPr>
      <w:r w:rsidRPr="00A67EFE">
        <w:rPr>
          <w:lang w:val="en-US"/>
        </w:rPr>
        <w:t>PQI bits are still present in DCI format 2D</w:t>
      </w:r>
    </w:p>
    <w:p w:rsidR="00D9639E" w:rsidRPr="00A67EFE" w:rsidRDefault="00620422" w:rsidP="0012280B">
      <w:pPr>
        <w:pStyle w:val="ListParagraph"/>
        <w:numPr>
          <w:ilvl w:val="2"/>
          <w:numId w:val="4"/>
        </w:numPr>
        <w:ind w:firstLineChars="0"/>
        <w:rPr>
          <w:lang w:val="en-US"/>
        </w:rPr>
      </w:pPr>
      <w:r w:rsidRPr="00A67EFE">
        <w:rPr>
          <w:lang w:val="en-US"/>
        </w:rPr>
        <w:t>Fallback transmission schemes are supported</w:t>
      </w:r>
    </w:p>
    <w:p w:rsidR="005C0E5F" w:rsidRDefault="00A67EFE" w:rsidP="005C0E5F">
      <w:pPr>
        <w:rPr>
          <w:lang w:val="en-US"/>
        </w:rPr>
      </w:pPr>
      <w:r>
        <w:rPr>
          <w:rFonts w:hint="eastAsia"/>
          <w:lang w:val="en-US"/>
        </w:rPr>
        <w:t xml:space="preserve">For RAN4, one option is cover all the transmission </w:t>
      </w:r>
      <w:r>
        <w:rPr>
          <w:lang w:val="en-US"/>
        </w:rPr>
        <w:t>modes;</w:t>
      </w:r>
      <w:r>
        <w:rPr>
          <w:rFonts w:hint="eastAsia"/>
          <w:lang w:val="en-US"/>
        </w:rPr>
        <w:t xml:space="preserve"> another option is prioritize some transmission modes. Since CRS-based transmission and DMRS-based transmission mode have fundamental </w:t>
      </w:r>
      <w:r>
        <w:rPr>
          <w:lang w:val="en-US"/>
        </w:rPr>
        <w:t>different</w:t>
      </w:r>
      <w:r>
        <w:rPr>
          <w:rFonts w:hint="eastAsia"/>
          <w:lang w:val="en-US"/>
        </w:rPr>
        <w:t xml:space="preserve"> demodulation procedure. Hence, </w:t>
      </w:r>
      <w:r w:rsidR="00DA1E30">
        <w:rPr>
          <w:rFonts w:hint="eastAsia"/>
          <w:lang w:val="en-US"/>
        </w:rPr>
        <w:t xml:space="preserve">both </w:t>
      </w:r>
      <w:r>
        <w:rPr>
          <w:rFonts w:hint="eastAsia"/>
          <w:lang w:val="en-US"/>
        </w:rPr>
        <w:t xml:space="preserve">CRS-based </w:t>
      </w:r>
      <w:r>
        <w:rPr>
          <w:lang w:val="en-US"/>
        </w:rPr>
        <w:t>transmission</w:t>
      </w:r>
      <w:r>
        <w:rPr>
          <w:rFonts w:hint="eastAsia"/>
          <w:lang w:val="en-US"/>
        </w:rPr>
        <w:t xml:space="preserve"> and DMRS-based </w:t>
      </w:r>
      <w:r>
        <w:rPr>
          <w:lang w:val="en-US"/>
        </w:rPr>
        <w:t>transmission</w:t>
      </w:r>
      <w:r>
        <w:rPr>
          <w:rFonts w:hint="eastAsia"/>
          <w:lang w:val="en-US"/>
        </w:rPr>
        <w:t xml:space="preserve"> scheme shall b</w:t>
      </w:r>
      <w:r w:rsidR="0064488B">
        <w:rPr>
          <w:rFonts w:hint="eastAsia"/>
          <w:lang w:val="en-US"/>
        </w:rPr>
        <w:t xml:space="preserve">e covered in LAA demodulation. Further, for CRS-based transmission scheme, as a minimum set, it is better to cover both close loop MIMO transmission scheme </w:t>
      </w:r>
      <w:r w:rsidR="0064488B">
        <w:rPr>
          <w:lang w:val="en-US"/>
        </w:rPr>
        <w:t>and</w:t>
      </w:r>
      <w:r w:rsidR="0064488B">
        <w:rPr>
          <w:rFonts w:hint="eastAsia"/>
          <w:lang w:val="en-US"/>
        </w:rPr>
        <w:t xml:space="preserve"> open loop scheme. For close loop MIMO transmission scheme, we can consider TM4 as the baseline. For open loop MIMO transmission</w:t>
      </w:r>
      <w:r w:rsidR="00DA1E30">
        <w:rPr>
          <w:rFonts w:hint="eastAsia"/>
          <w:lang w:val="en-US"/>
        </w:rPr>
        <w:t xml:space="preserve"> scheme</w:t>
      </w:r>
      <w:r w:rsidR="0064488B">
        <w:rPr>
          <w:rFonts w:hint="eastAsia"/>
          <w:lang w:val="en-US"/>
        </w:rPr>
        <w:t>, we can consider TM3</w:t>
      </w:r>
      <w:r w:rsidR="00DA1E30">
        <w:rPr>
          <w:rFonts w:hint="eastAsia"/>
          <w:lang w:val="en-US"/>
        </w:rPr>
        <w:t xml:space="preserve">. </w:t>
      </w:r>
      <w:r w:rsidR="0064488B">
        <w:rPr>
          <w:rFonts w:hint="eastAsia"/>
          <w:lang w:val="en-US"/>
        </w:rPr>
        <w:t xml:space="preserve"> </w:t>
      </w:r>
    </w:p>
    <w:p w:rsidR="00A67EFE" w:rsidRDefault="00A67EFE" w:rsidP="00E41553">
      <w:pPr>
        <w:pStyle w:val="Caption"/>
        <w:jc w:val="both"/>
      </w:pPr>
      <w:proofErr w:type="gramStart"/>
      <w:r>
        <w:t xml:space="preserve">Proposal  </w:t>
      </w:r>
      <w:proofErr w:type="gramEnd"/>
      <w:r>
        <w:fldChar w:fldCharType="begin"/>
      </w:r>
      <w:r>
        <w:instrText xml:space="preserve"> SEQ Proposal_ \* ARABIC </w:instrText>
      </w:r>
      <w:r>
        <w:fldChar w:fldCharType="separate"/>
      </w:r>
      <w:r w:rsidR="0060134A">
        <w:rPr>
          <w:noProof/>
        </w:rPr>
        <w:t>5</w:t>
      </w:r>
      <w:r>
        <w:fldChar w:fldCharType="end"/>
      </w:r>
      <w:r>
        <w:rPr>
          <w:rFonts w:hint="eastAsia"/>
        </w:rPr>
        <w:t xml:space="preserve">: </w:t>
      </w:r>
      <w:r w:rsidR="00F763DE">
        <w:rPr>
          <w:rFonts w:hint="eastAsia"/>
        </w:rPr>
        <w:t xml:space="preserve">Both </w:t>
      </w:r>
      <w:r w:rsidR="007279C9">
        <w:rPr>
          <w:rFonts w:hint="eastAsia"/>
        </w:rPr>
        <w:t>CRS-based transmission scheme</w:t>
      </w:r>
      <w:r w:rsidR="00A268E5">
        <w:rPr>
          <w:rFonts w:hint="eastAsia"/>
        </w:rPr>
        <w:t>(s)</w:t>
      </w:r>
      <w:r w:rsidR="007279C9">
        <w:rPr>
          <w:rFonts w:hint="eastAsia"/>
        </w:rPr>
        <w:t xml:space="preserve"> and DMRS-based transmission scheme shall be covered in LAA demodulation.</w:t>
      </w:r>
      <w:r w:rsidR="00F763DE">
        <w:rPr>
          <w:rFonts w:hint="eastAsia"/>
        </w:rPr>
        <w:t xml:space="preserve"> </w:t>
      </w:r>
    </w:p>
    <w:p w:rsidR="00E41553" w:rsidRDefault="00E41553" w:rsidP="00A268E5">
      <w:pPr>
        <w:pStyle w:val="Caption"/>
        <w:jc w:val="both"/>
      </w:pPr>
      <w:r>
        <w:t xml:space="preserve">Proposal  </w:t>
      </w:r>
      <w:r>
        <w:fldChar w:fldCharType="begin"/>
      </w:r>
      <w:r>
        <w:instrText xml:space="preserve"> SEQ Proposal_ \* ARABIC </w:instrText>
      </w:r>
      <w:r>
        <w:fldChar w:fldCharType="separate"/>
      </w:r>
      <w:r w:rsidR="0060134A">
        <w:rPr>
          <w:noProof/>
        </w:rPr>
        <w:t>6</w:t>
      </w:r>
      <w:r>
        <w:fldChar w:fldCharType="end"/>
      </w:r>
      <w:r>
        <w:rPr>
          <w:rFonts w:hint="eastAsia"/>
        </w:rPr>
        <w:t>:</w:t>
      </w:r>
      <w:r w:rsidR="00A268E5">
        <w:rPr>
          <w:rFonts w:hint="eastAsia"/>
        </w:rPr>
        <w:t xml:space="preserve"> For CRS-based transmission schemes, TM3 is configured for 2x2 case </w:t>
      </w:r>
      <w:r w:rsidR="00A268E5">
        <w:t>and</w:t>
      </w:r>
      <w:r w:rsidR="00A268E5">
        <w:rPr>
          <w:rFonts w:hint="eastAsia"/>
        </w:rPr>
        <w:t xml:space="preserve"> TM4 is configured for 4x2 case; For DMRS-based transmission scheme, TM9 is configured for 2x2. </w:t>
      </w:r>
    </w:p>
    <w:p w:rsidR="000F4DAB" w:rsidRDefault="000F4DAB" w:rsidP="000F4DAB">
      <w:pPr>
        <w:pStyle w:val="Heading2"/>
        <w:rPr>
          <w:lang w:val="en-US"/>
        </w:rPr>
      </w:pPr>
      <w:r w:rsidRPr="000F4DAB">
        <w:rPr>
          <w:rFonts w:hint="eastAsia"/>
          <w:lang w:val="en-US"/>
        </w:rPr>
        <w:t>DRS configuration</w:t>
      </w:r>
    </w:p>
    <w:p w:rsidR="000F4DAB" w:rsidRPr="000F4DAB" w:rsidRDefault="00470466" w:rsidP="000F4DAB">
      <w:pPr>
        <w:rPr>
          <w:lang w:val="en-US"/>
        </w:rPr>
      </w:pPr>
      <w:r>
        <w:rPr>
          <w:lang w:val="en-US"/>
        </w:rPr>
        <w:t>S</w:t>
      </w:r>
      <w:r>
        <w:rPr>
          <w:rFonts w:hint="eastAsia"/>
          <w:lang w:val="en-US"/>
        </w:rPr>
        <w:t xml:space="preserve">ince UE may use DRS for measurements and synchronization, DRS </w:t>
      </w:r>
      <w:proofErr w:type="gramStart"/>
      <w:r>
        <w:rPr>
          <w:rFonts w:hint="eastAsia"/>
          <w:lang w:val="en-US"/>
        </w:rPr>
        <w:t>is</w:t>
      </w:r>
      <w:proofErr w:type="gramEnd"/>
      <w:r>
        <w:rPr>
          <w:rFonts w:hint="eastAsia"/>
          <w:lang w:val="en-US"/>
        </w:rPr>
        <w:t xml:space="preserve"> configured. The periodicity can be 40 </w:t>
      </w:r>
      <w:proofErr w:type="spellStart"/>
      <w:r>
        <w:rPr>
          <w:rFonts w:hint="eastAsia"/>
          <w:lang w:val="en-US"/>
        </w:rPr>
        <w:t>ms.</w:t>
      </w:r>
      <w:proofErr w:type="spellEnd"/>
      <w:r>
        <w:rPr>
          <w:rFonts w:hint="eastAsia"/>
          <w:lang w:val="en-US"/>
        </w:rPr>
        <w:t xml:space="preserve"> </w:t>
      </w:r>
    </w:p>
    <w:p w:rsidR="00B35C80" w:rsidRDefault="00B35C80" w:rsidP="00B35C80">
      <w:pPr>
        <w:pStyle w:val="Heading2"/>
      </w:pPr>
      <w:r>
        <w:rPr>
          <w:rFonts w:hint="eastAsia"/>
        </w:rPr>
        <w:t>Reference receiver</w:t>
      </w:r>
    </w:p>
    <w:p w:rsidR="00B35C80" w:rsidRDefault="00686289" w:rsidP="00686289">
      <w:r>
        <w:rPr>
          <w:rFonts w:hint="eastAsia"/>
        </w:rPr>
        <w:t xml:space="preserve">For receiver, we have MMSE-MRC, MMSE-IRC and </w:t>
      </w:r>
      <w:r>
        <w:t>other</w:t>
      </w:r>
      <w:r>
        <w:rPr>
          <w:rFonts w:hint="eastAsia"/>
        </w:rPr>
        <w:t xml:space="preserve"> advanced </w:t>
      </w:r>
      <w:r>
        <w:t>receiver</w:t>
      </w:r>
      <w:r>
        <w:rPr>
          <w:rFonts w:hint="eastAsia"/>
        </w:rPr>
        <w:t xml:space="preserve">, such as receiver with CRS-IM capability, NAIC, receiver with control channel IC. As minimum performance requirements, we can use non-advanced receiver. Since MMSE-IRC is used widely, we prefer to use MMSE-IRC as the reference receiver. </w:t>
      </w:r>
    </w:p>
    <w:p w:rsidR="00686289" w:rsidRDefault="00686289" w:rsidP="00686289">
      <w:pPr>
        <w:pStyle w:val="Caption"/>
        <w:jc w:val="left"/>
      </w:pPr>
      <w:proofErr w:type="gramStart"/>
      <w:r>
        <w:t xml:space="preserve">Proposal  </w:t>
      </w:r>
      <w:proofErr w:type="gramEnd"/>
      <w:r>
        <w:fldChar w:fldCharType="begin"/>
      </w:r>
      <w:r>
        <w:instrText xml:space="preserve"> SEQ Proposal_ \* ARABIC </w:instrText>
      </w:r>
      <w:r>
        <w:fldChar w:fldCharType="separate"/>
      </w:r>
      <w:r w:rsidR="0060134A">
        <w:rPr>
          <w:noProof/>
        </w:rPr>
        <w:t>7</w:t>
      </w:r>
      <w:r>
        <w:fldChar w:fldCharType="end"/>
      </w:r>
      <w:r>
        <w:rPr>
          <w:rFonts w:hint="eastAsia"/>
        </w:rPr>
        <w:t xml:space="preserve">: MMSE-IRC receiver is set as the reference </w:t>
      </w:r>
      <w:r>
        <w:t>receiver</w:t>
      </w:r>
      <w:r>
        <w:rPr>
          <w:rFonts w:hint="eastAsia"/>
        </w:rPr>
        <w:t xml:space="preserve"> in LAA demodulation</w:t>
      </w:r>
    </w:p>
    <w:p w:rsidR="007434FE" w:rsidRDefault="007434FE" w:rsidP="007434FE">
      <w:pPr>
        <w:pStyle w:val="Heading2"/>
      </w:pPr>
      <w:r>
        <w:rPr>
          <w:rFonts w:hint="eastAsia"/>
        </w:rPr>
        <w:t>Interference modelling</w:t>
      </w:r>
    </w:p>
    <w:p w:rsidR="007434FE" w:rsidRDefault="004926F8" w:rsidP="007434FE">
      <w:r>
        <w:rPr>
          <w:rFonts w:hint="eastAsia"/>
        </w:rPr>
        <w:t xml:space="preserve">In LAA, the </w:t>
      </w:r>
      <w:r>
        <w:t>interference</w:t>
      </w:r>
      <w:r>
        <w:rPr>
          <w:rFonts w:hint="eastAsia"/>
        </w:rPr>
        <w:t xml:space="preserve"> is not only from 3GPP system, it also comes from </w:t>
      </w:r>
      <w:proofErr w:type="spellStart"/>
      <w:r>
        <w:rPr>
          <w:rFonts w:hint="eastAsia"/>
        </w:rPr>
        <w:t>WiFi</w:t>
      </w:r>
      <w:proofErr w:type="spellEnd"/>
      <w:r>
        <w:rPr>
          <w:rFonts w:hint="eastAsia"/>
        </w:rPr>
        <w:t xml:space="preserve"> system. For legacy MMSE-IRC, the </w:t>
      </w:r>
      <w:r>
        <w:t>interference</w:t>
      </w:r>
      <w:r>
        <w:rPr>
          <w:rFonts w:hint="eastAsia"/>
        </w:rPr>
        <w:t xml:space="preserve"> is </w:t>
      </w:r>
      <w:r>
        <w:t>assumed</w:t>
      </w:r>
      <w:r>
        <w:rPr>
          <w:rFonts w:hint="eastAsia"/>
        </w:rPr>
        <w:t xml:space="preserve"> stable, and in all test, the </w:t>
      </w:r>
      <w:r>
        <w:t>aggressor</w:t>
      </w:r>
      <w:r>
        <w:rPr>
          <w:rFonts w:hint="eastAsia"/>
        </w:rPr>
        <w:t xml:space="preserve"> </w:t>
      </w:r>
      <w:r w:rsidR="0087479C">
        <w:rPr>
          <w:rFonts w:hint="eastAsia"/>
        </w:rPr>
        <w:t xml:space="preserve">cell are LTE system. The </w:t>
      </w:r>
      <w:proofErr w:type="spellStart"/>
      <w:r w:rsidR="0087479C">
        <w:rPr>
          <w:rFonts w:hint="eastAsia"/>
        </w:rPr>
        <w:t>WiFi</w:t>
      </w:r>
      <w:proofErr w:type="spellEnd"/>
      <w:r w:rsidR="0087479C">
        <w:rPr>
          <w:rFonts w:hint="eastAsia"/>
        </w:rPr>
        <w:t xml:space="preserve"> interference </w:t>
      </w:r>
      <w:r w:rsidR="0087479C">
        <w:t>characteristic</w:t>
      </w:r>
      <w:r w:rsidR="0087479C">
        <w:rPr>
          <w:rFonts w:hint="eastAsia"/>
        </w:rPr>
        <w:t xml:space="preserve"> is different from LTE interference characteristic. It may impact on the UE performance. Hence, it is better to introduce </w:t>
      </w:r>
      <w:proofErr w:type="spellStart"/>
      <w:r w:rsidR="0087479C">
        <w:rPr>
          <w:rFonts w:hint="eastAsia"/>
        </w:rPr>
        <w:t>WiFi</w:t>
      </w:r>
      <w:proofErr w:type="spellEnd"/>
      <w:r w:rsidR="0087479C">
        <w:rPr>
          <w:rFonts w:hint="eastAsia"/>
        </w:rPr>
        <w:t xml:space="preserve"> interference in the test. </w:t>
      </w:r>
    </w:p>
    <w:p w:rsidR="00811621" w:rsidRPr="00811621" w:rsidRDefault="00811621" w:rsidP="00811621">
      <w:pPr>
        <w:rPr>
          <w:lang w:val="en-US"/>
        </w:rPr>
      </w:pPr>
    </w:p>
    <w:p w:rsidR="008026B2" w:rsidRDefault="008026B2" w:rsidP="00B54C7D">
      <w:pPr>
        <w:pStyle w:val="Heading1"/>
        <w:jc w:val="both"/>
        <w:rPr>
          <w:lang w:val="en-US"/>
        </w:rPr>
      </w:pPr>
      <w:r>
        <w:rPr>
          <w:lang w:val="en-US"/>
        </w:rPr>
        <w:lastRenderedPageBreak/>
        <w:t>A</w:t>
      </w:r>
      <w:r>
        <w:rPr>
          <w:rFonts w:hint="eastAsia"/>
          <w:lang w:val="en-US"/>
        </w:rPr>
        <w:t>pplicability of the requirements</w:t>
      </w:r>
      <w:r w:rsidR="00B54C7D">
        <w:rPr>
          <w:rFonts w:hint="eastAsia"/>
          <w:lang w:val="en-US"/>
        </w:rPr>
        <w:t xml:space="preserve"> to different CA combinations</w:t>
      </w:r>
    </w:p>
    <w:p w:rsidR="002F6F20" w:rsidRPr="00F070BD" w:rsidRDefault="00336153" w:rsidP="00336153">
      <w:pPr>
        <w:rPr>
          <w:lang w:val="en-US"/>
        </w:rPr>
      </w:pPr>
      <w:r>
        <w:rPr>
          <w:rFonts w:hint="eastAsia"/>
          <w:lang w:val="en-US"/>
        </w:rPr>
        <w:t xml:space="preserve">For LAA demodulation requirements, it is very similar to traditional CA performance requirements. Hence, we can reuse the basic general principle for traditional CA performance requirements. In CA performance requirements, we have the </w:t>
      </w:r>
      <w:r w:rsidR="004B11D1" w:rsidRPr="00F070BD">
        <w:rPr>
          <w:lang w:val="en-US"/>
        </w:rPr>
        <w:t>following general principle</w:t>
      </w:r>
    </w:p>
    <w:p w:rsidR="002F6F20" w:rsidRPr="00336153" w:rsidRDefault="004B11D1" w:rsidP="0012280B">
      <w:pPr>
        <w:pStyle w:val="ListParagraph"/>
        <w:numPr>
          <w:ilvl w:val="0"/>
          <w:numId w:val="4"/>
        </w:numPr>
        <w:ind w:firstLineChars="0"/>
        <w:rPr>
          <w:lang w:val="en-US"/>
        </w:rPr>
      </w:pPr>
      <w:r w:rsidRPr="00336153">
        <w:rPr>
          <w:lang w:val="en-US"/>
        </w:rPr>
        <w:t>The demodulation performance requirements are band agnostic</w:t>
      </w:r>
      <w:r w:rsidR="006E5023">
        <w:rPr>
          <w:rFonts w:hint="eastAsia"/>
          <w:lang w:val="en-US"/>
        </w:rPr>
        <w:t xml:space="preserve"> and band combination agnostic</w:t>
      </w:r>
    </w:p>
    <w:p w:rsidR="002F6F20" w:rsidRPr="00336153" w:rsidRDefault="004B11D1" w:rsidP="0012280B">
      <w:pPr>
        <w:pStyle w:val="ListParagraph"/>
        <w:numPr>
          <w:ilvl w:val="0"/>
          <w:numId w:val="4"/>
        </w:numPr>
        <w:ind w:firstLineChars="0"/>
        <w:rPr>
          <w:lang w:val="en-US"/>
        </w:rPr>
      </w:pPr>
      <w:r w:rsidRPr="00F070BD">
        <w:t>Single carrier performance for multiple CA configurations</w:t>
      </w:r>
      <w:r w:rsidRPr="00336153">
        <w:rPr>
          <w:lang w:val="en-US"/>
        </w:rPr>
        <w:t xml:space="preserve"> is the pool with all single carrier </w:t>
      </w:r>
      <w:proofErr w:type="spellStart"/>
      <w:r w:rsidRPr="00336153">
        <w:rPr>
          <w:lang w:val="en-US"/>
        </w:rPr>
        <w:t>perf</w:t>
      </w:r>
      <w:proofErr w:type="spellEnd"/>
      <w:r w:rsidRPr="00336153">
        <w:rPr>
          <w:lang w:val="en-US"/>
        </w:rPr>
        <w:t xml:space="preserve"> for all bandwidths</w:t>
      </w:r>
    </w:p>
    <w:p w:rsidR="00336153" w:rsidRPr="00F070BD" w:rsidRDefault="00336153" w:rsidP="00336153">
      <w:pPr>
        <w:rPr>
          <w:lang w:val="en-US"/>
        </w:rPr>
      </w:pPr>
      <w:r>
        <w:rPr>
          <w:rFonts w:hint="eastAsia"/>
          <w:lang w:val="en-US"/>
        </w:rPr>
        <w:t>For</w:t>
      </w:r>
      <w:r w:rsidR="0083679B">
        <w:rPr>
          <w:rFonts w:hint="eastAsia"/>
          <w:lang w:val="en-US"/>
        </w:rPr>
        <w:t xml:space="preserve"> LAA demodulation</w:t>
      </w:r>
      <w:r>
        <w:rPr>
          <w:rFonts w:hint="eastAsia"/>
          <w:lang w:val="en-US"/>
        </w:rPr>
        <w:t xml:space="preserve">, the only difference is two </w:t>
      </w:r>
      <w:r w:rsidR="001211CD">
        <w:rPr>
          <w:rFonts w:hint="eastAsia"/>
          <w:lang w:val="en-US"/>
        </w:rPr>
        <w:t xml:space="preserve">performance </w:t>
      </w:r>
      <w:r>
        <w:rPr>
          <w:rFonts w:hint="eastAsia"/>
          <w:lang w:val="en-US"/>
        </w:rPr>
        <w:t>pools</w:t>
      </w:r>
      <w:r w:rsidR="001211CD">
        <w:rPr>
          <w:rFonts w:hint="eastAsia"/>
          <w:lang w:val="en-US"/>
        </w:rPr>
        <w:t xml:space="preserve"> may be configured</w:t>
      </w:r>
      <w:r>
        <w:rPr>
          <w:rFonts w:hint="eastAsia"/>
          <w:lang w:val="en-US"/>
        </w:rPr>
        <w:t xml:space="preserve">, one pool is for license carrier and one pool is for unlicensed carrier. </w:t>
      </w:r>
    </w:p>
    <w:p w:rsidR="00BB1E99" w:rsidRDefault="00BB1E99" w:rsidP="007C505D">
      <w:pPr>
        <w:rPr>
          <w:lang w:val="en-US"/>
        </w:rPr>
      </w:pPr>
      <w:r>
        <w:rPr>
          <w:rFonts w:hint="eastAsia"/>
          <w:lang w:val="en-US"/>
        </w:rPr>
        <w:t>One example is shown in Table-X and Table-Y</w:t>
      </w:r>
      <w:r w:rsidR="00E145A0">
        <w:rPr>
          <w:rFonts w:hint="eastAsia"/>
          <w:lang w:val="en-US"/>
        </w:rPr>
        <w:t>. In the table X, the performance for license carrier (primary carr</w:t>
      </w:r>
      <w:r w:rsidR="007C505D">
        <w:rPr>
          <w:rFonts w:hint="eastAsia"/>
          <w:lang w:val="en-US"/>
        </w:rPr>
        <w:t>ier) is given, and in the Table-</w:t>
      </w:r>
      <w:r w:rsidR="00E145A0">
        <w:rPr>
          <w:rFonts w:hint="eastAsia"/>
          <w:lang w:val="en-US"/>
        </w:rPr>
        <w:t>Y, the performance for unlicensed carrier (unlicensed secondary carrier)</w:t>
      </w:r>
      <w:r w:rsidR="00336153">
        <w:rPr>
          <w:rFonts w:hint="eastAsia"/>
          <w:lang w:val="en-US"/>
        </w:rPr>
        <w:t xml:space="preserve"> is </w:t>
      </w:r>
      <w:r w:rsidR="007C505D">
        <w:rPr>
          <w:rFonts w:hint="eastAsia"/>
          <w:lang w:val="en-US"/>
        </w:rPr>
        <w:t>given.</w:t>
      </w:r>
    </w:p>
    <w:p w:rsidR="00F070BD" w:rsidRPr="007B7971" w:rsidRDefault="00F070BD" w:rsidP="00F070BD">
      <w:pPr>
        <w:pStyle w:val="Caption"/>
        <w:keepNext/>
        <w:rPr>
          <w:lang w:val="en-US"/>
        </w:rPr>
      </w:pPr>
      <w:r w:rsidRPr="007B7971">
        <w:t>Table-X: Single carrier performance (Frame type 1 and Frame type 2) for multiple CA configurations</w:t>
      </w:r>
    </w:p>
    <w:tbl>
      <w:tblPr>
        <w:tblW w:w="9277" w:type="dxa"/>
        <w:jc w:val="center"/>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24"/>
        <w:gridCol w:w="1413"/>
        <w:gridCol w:w="1083"/>
        <w:gridCol w:w="1630"/>
        <w:gridCol w:w="1553"/>
        <w:gridCol w:w="1546"/>
        <w:gridCol w:w="828"/>
      </w:tblGrid>
      <w:tr w:rsidR="008F0092" w:rsidRPr="008F0092" w:rsidTr="008F0092">
        <w:trPr>
          <w:trHeight w:val="223"/>
          <w:jc w:val="center"/>
        </w:trPr>
        <w:tc>
          <w:tcPr>
            <w:tcW w:w="1224" w:type="dxa"/>
            <w:vMerge w:val="restart"/>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Band-width</w:t>
            </w:r>
          </w:p>
        </w:tc>
        <w:tc>
          <w:tcPr>
            <w:tcW w:w="1413" w:type="dxa"/>
            <w:vMerge w:val="restart"/>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Reference channel</w:t>
            </w:r>
          </w:p>
        </w:tc>
        <w:tc>
          <w:tcPr>
            <w:tcW w:w="1083" w:type="dxa"/>
            <w:vMerge w:val="restart"/>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OCNG pattern</w:t>
            </w:r>
          </w:p>
        </w:tc>
        <w:tc>
          <w:tcPr>
            <w:tcW w:w="1630" w:type="dxa"/>
            <w:vMerge w:val="restart"/>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Propagation condition</w:t>
            </w:r>
          </w:p>
        </w:tc>
        <w:tc>
          <w:tcPr>
            <w:tcW w:w="1553" w:type="dxa"/>
            <w:vMerge w:val="restart"/>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 xml:space="preserve">Correlation matrix and antenna </w:t>
            </w:r>
            <w:proofErr w:type="spellStart"/>
            <w:r w:rsidRPr="008F0092">
              <w:rPr>
                <w:bCs/>
                <w:sz w:val="21"/>
              </w:rPr>
              <w:t>config</w:t>
            </w:r>
            <w:proofErr w:type="spellEnd"/>
            <w:r w:rsidRPr="008F0092">
              <w:rPr>
                <w:bCs/>
                <w:sz w:val="21"/>
              </w:rPr>
              <w:t>.</w:t>
            </w:r>
          </w:p>
        </w:tc>
        <w:tc>
          <w:tcPr>
            <w:tcW w:w="2374" w:type="dxa"/>
            <w:gridSpan w:val="2"/>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Reference value</w:t>
            </w:r>
          </w:p>
        </w:tc>
      </w:tr>
      <w:tr w:rsidR="008F0092" w:rsidRPr="008F0092" w:rsidTr="008F0092">
        <w:trPr>
          <w:trHeight w:val="223"/>
          <w:jc w:val="center"/>
        </w:trPr>
        <w:tc>
          <w:tcPr>
            <w:tcW w:w="0" w:type="auto"/>
            <w:vMerge/>
            <w:shd w:val="clear" w:color="auto" w:fill="FFFFFF" w:themeFill="background1"/>
            <w:vAlign w:val="center"/>
            <w:hideMark/>
          </w:tcPr>
          <w:p w:rsidR="00F070BD" w:rsidRPr="008F0092" w:rsidRDefault="00F070BD" w:rsidP="00AF0EE6">
            <w:pPr>
              <w:jc w:val="center"/>
              <w:rPr>
                <w:sz w:val="21"/>
                <w:lang w:val="en-US"/>
              </w:rPr>
            </w:pPr>
          </w:p>
        </w:tc>
        <w:tc>
          <w:tcPr>
            <w:tcW w:w="0" w:type="auto"/>
            <w:vMerge/>
            <w:shd w:val="clear" w:color="auto" w:fill="FFFFFF" w:themeFill="background1"/>
            <w:vAlign w:val="center"/>
            <w:hideMark/>
          </w:tcPr>
          <w:p w:rsidR="00F070BD" w:rsidRPr="008F0092" w:rsidRDefault="00F070BD" w:rsidP="00AF0EE6">
            <w:pPr>
              <w:jc w:val="center"/>
              <w:rPr>
                <w:sz w:val="21"/>
                <w:lang w:val="en-US"/>
              </w:rPr>
            </w:pPr>
          </w:p>
        </w:tc>
        <w:tc>
          <w:tcPr>
            <w:tcW w:w="0" w:type="auto"/>
            <w:vMerge/>
            <w:shd w:val="clear" w:color="auto" w:fill="FFFFFF" w:themeFill="background1"/>
            <w:vAlign w:val="center"/>
            <w:hideMark/>
          </w:tcPr>
          <w:p w:rsidR="00F070BD" w:rsidRPr="008F0092" w:rsidRDefault="00F070BD" w:rsidP="00AF0EE6">
            <w:pPr>
              <w:jc w:val="center"/>
              <w:rPr>
                <w:sz w:val="21"/>
                <w:lang w:val="en-US"/>
              </w:rPr>
            </w:pPr>
          </w:p>
        </w:tc>
        <w:tc>
          <w:tcPr>
            <w:tcW w:w="0" w:type="auto"/>
            <w:vMerge/>
            <w:shd w:val="clear" w:color="auto" w:fill="FFFFFF" w:themeFill="background1"/>
            <w:vAlign w:val="center"/>
            <w:hideMark/>
          </w:tcPr>
          <w:p w:rsidR="00F070BD" w:rsidRPr="008F0092" w:rsidRDefault="00F070BD" w:rsidP="00AF0EE6">
            <w:pPr>
              <w:jc w:val="center"/>
              <w:rPr>
                <w:sz w:val="21"/>
                <w:lang w:val="en-US"/>
              </w:rPr>
            </w:pPr>
          </w:p>
        </w:tc>
        <w:tc>
          <w:tcPr>
            <w:tcW w:w="0" w:type="auto"/>
            <w:vMerge/>
            <w:shd w:val="clear" w:color="auto" w:fill="FFFFFF" w:themeFill="background1"/>
            <w:vAlign w:val="center"/>
            <w:hideMark/>
          </w:tcPr>
          <w:p w:rsidR="00F070BD" w:rsidRPr="008F0092" w:rsidRDefault="00F070BD" w:rsidP="00AF0EE6">
            <w:pPr>
              <w:jc w:val="center"/>
              <w:rPr>
                <w:sz w:val="21"/>
                <w:lang w:val="en-US"/>
              </w:rPr>
            </w:pPr>
          </w:p>
        </w:tc>
        <w:tc>
          <w:tcPr>
            <w:tcW w:w="1546"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rPr>
              <w:t>Fraction of maximum throughput (%)</w:t>
            </w:r>
          </w:p>
        </w:tc>
        <w:tc>
          <w:tcPr>
            <w:tcW w:w="828"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SNR (dB)</w:t>
            </w:r>
          </w:p>
        </w:tc>
      </w:tr>
      <w:tr w:rsidR="008F0092" w:rsidRPr="008F0092" w:rsidTr="008F0092">
        <w:trPr>
          <w:trHeight w:val="114"/>
          <w:jc w:val="center"/>
        </w:trPr>
        <w:tc>
          <w:tcPr>
            <w:tcW w:w="1224"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10MHz</w:t>
            </w:r>
          </w:p>
        </w:tc>
        <w:tc>
          <w:tcPr>
            <w:tcW w:w="141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rPr>
              <w:t>R.2 FDD</w:t>
            </w:r>
          </w:p>
        </w:tc>
        <w:tc>
          <w:tcPr>
            <w:tcW w:w="108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rPr>
              <w:t>OP.1 FDD</w:t>
            </w:r>
          </w:p>
        </w:tc>
        <w:tc>
          <w:tcPr>
            <w:tcW w:w="1630"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rPr>
              <w:t>EVA5</w:t>
            </w:r>
          </w:p>
        </w:tc>
        <w:tc>
          <w:tcPr>
            <w:tcW w:w="155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rPr>
              <w:t>1x2 Low</w:t>
            </w:r>
          </w:p>
        </w:tc>
        <w:tc>
          <w:tcPr>
            <w:tcW w:w="1546"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rPr>
              <w:t>70</w:t>
            </w:r>
          </w:p>
        </w:tc>
        <w:tc>
          <w:tcPr>
            <w:tcW w:w="828"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[-1.7]</w:t>
            </w:r>
          </w:p>
        </w:tc>
      </w:tr>
      <w:tr w:rsidR="008F0092" w:rsidRPr="008F0092" w:rsidTr="008F0092">
        <w:trPr>
          <w:trHeight w:val="114"/>
          <w:jc w:val="center"/>
        </w:trPr>
        <w:tc>
          <w:tcPr>
            <w:tcW w:w="1224"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lang w:val="en-US"/>
              </w:rPr>
              <w:t>…</w:t>
            </w:r>
          </w:p>
        </w:tc>
        <w:tc>
          <w:tcPr>
            <w:tcW w:w="141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lang w:val="en-US"/>
              </w:rPr>
              <w:t>…</w:t>
            </w:r>
          </w:p>
        </w:tc>
        <w:tc>
          <w:tcPr>
            <w:tcW w:w="108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lang w:val="en-US"/>
              </w:rPr>
              <w:t>…</w:t>
            </w:r>
          </w:p>
        </w:tc>
        <w:tc>
          <w:tcPr>
            <w:tcW w:w="1630"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lang w:val="en-US"/>
              </w:rPr>
              <w:t>…</w:t>
            </w:r>
          </w:p>
        </w:tc>
        <w:tc>
          <w:tcPr>
            <w:tcW w:w="155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lang w:val="en-US"/>
              </w:rPr>
              <w:t>…</w:t>
            </w:r>
          </w:p>
        </w:tc>
        <w:tc>
          <w:tcPr>
            <w:tcW w:w="1546"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sz w:val="21"/>
                <w:lang w:val="en-US"/>
              </w:rPr>
              <w:t>…</w:t>
            </w:r>
          </w:p>
        </w:tc>
        <w:tc>
          <w:tcPr>
            <w:tcW w:w="828"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lang w:val="en-US"/>
              </w:rPr>
              <w:t>…</w:t>
            </w:r>
          </w:p>
        </w:tc>
      </w:tr>
      <w:tr w:rsidR="008F0092" w:rsidRPr="008F0092" w:rsidTr="008F0092">
        <w:trPr>
          <w:trHeight w:val="114"/>
          <w:jc w:val="center"/>
        </w:trPr>
        <w:tc>
          <w:tcPr>
            <w:tcW w:w="1224"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20MHz</w:t>
            </w:r>
          </w:p>
        </w:tc>
        <w:tc>
          <w:tcPr>
            <w:tcW w:w="141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R.42 FDD</w:t>
            </w:r>
          </w:p>
        </w:tc>
        <w:tc>
          <w:tcPr>
            <w:tcW w:w="108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OP.1 FDD</w:t>
            </w:r>
          </w:p>
        </w:tc>
        <w:tc>
          <w:tcPr>
            <w:tcW w:w="1630"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EVA5</w:t>
            </w:r>
          </w:p>
        </w:tc>
        <w:tc>
          <w:tcPr>
            <w:tcW w:w="1553"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1x2 Low</w:t>
            </w:r>
          </w:p>
        </w:tc>
        <w:tc>
          <w:tcPr>
            <w:tcW w:w="1546"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70</w:t>
            </w:r>
          </w:p>
        </w:tc>
        <w:tc>
          <w:tcPr>
            <w:tcW w:w="828" w:type="dxa"/>
            <w:shd w:val="clear" w:color="auto" w:fill="FFFFFF" w:themeFill="background1"/>
            <w:tcMar>
              <w:top w:w="15" w:type="dxa"/>
              <w:left w:w="108" w:type="dxa"/>
              <w:bottom w:w="0" w:type="dxa"/>
              <w:right w:w="108" w:type="dxa"/>
            </w:tcMar>
            <w:vAlign w:val="center"/>
            <w:hideMark/>
          </w:tcPr>
          <w:p w:rsidR="002F6F20" w:rsidRPr="008F0092" w:rsidRDefault="00F070BD" w:rsidP="00AF0EE6">
            <w:pPr>
              <w:jc w:val="center"/>
              <w:rPr>
                <w:sz w:val="21"/>
                <w:lang w:val="en-US"/>
              </w:rPr>
            </w:pPr>
            <w:r w:rsidRPr="008F0092">
              <w:rPr>
                <w:bCs/>
                <w:sz w:val="21"/>
              </w:rPr>
              <w:t>[-1.7]</w:t>
            </w:r>
          </w:p>
        </w:tc>
      </w:tr>
    </w:tbl>
    <w:p w:rsidR="008026B2" w:rsidRDefault="008026B2" w:rsidP="008026B2">
      <w:pPr>
        <w:rPr>
          <w:lang w:val="en-US"/>
        </w:rPr>
      </w:pPr>
    </w:p>
    <w:p w:rsidR="00AF0EE6" w:rsidRPr="007B7971" w:rsidRDefault="00AF0EE6" w:rsidP="00AF0EE6">
      <w:pPr>
        <w:pStyle w:val="Caption"/>
        <w:keepNext/>
      </w:pPr>
      <w:r w:rsidRPr="007B7971">
        <w:t>Table-Y: Single carrier performance (Frame type 3) for multiple CA configurations</w:t>
      </w:r>
    </w:p>
    <w:tbl>
      <w:tblPr>
        <w:tblW w:w="9428" w:type="dxa"/>
        <w:jc w:val="center"/>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1E0" w:firstRow="1" w:lastRow="1" w:firstColumn="1" w:lastColumn="1" w:noHBand="0" w:noVBand="0"/>
      </w:tblPr>
      <w:tblGrid>
        <w:gridCol w:w="1770"/>
        <w:gridCol w:w="1213"/>
        <w:gridCol w:w="1132"/>
        <w:gridCol w:w="1391"/>
        <w:gridCol w:w="1378"/>
        <w:gridCol w:w="1788"/>
        <w:gridCol w:w="756"/>
      </w:tblGrid>
      <w:tr w:rsidR="00AF0EE6" w:rsidRPr="00AF0EE6" w:rsidTr="007B7971">
        <w:trPr>
          <w:trHeight w:val="264"/>
          <w:jc w:val="center"/>
        </w:trPr>
        <w:tc>
          <w:tcPr>
            <w:tcW w:w="1770" w:type="dxa"/>
            <w:vMerge w:val="restart"/>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Band-width</w:t>
            </w:r>
          </w:p>
        </w:tc>
        <w:tc>
          <w:tcPr>
            <w:tcW w:w="1213" w:type="dxa"/>
            <w:vMerge w:val="restart"/>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Reference channel</w:t>
            </w:r>
          </w:p>
        </w:tc>
        <w:tc>
          <w:tcPr>
            <w:tcW w:w="1132" w:type="dxa"/>
            <w:vMerge w:val="restart"/>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OCNG pattern</w:t>
            </w:r>
          </w:p>
        </w:tc>
        <w:tc>
          <w:tcPr>
            <w:tcW w:w="1391" w:type="dxa"/>
            <w:vMerge w:val="restart"/>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Propagation condition</w:t>
            </w:r>
          </w:p>
        </w:tc>
        <w:tc>
          <w:tcPr>
            <w:tcW w:w="1378" w:type="dxa"/>
            <w:vMerge w:val="restart"/>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 xml:space="preserve">Correlation matrix and antenna </w:t>
            </w:r>
            <w:proofErr w:type="spellStart"/>
            <w:r w:rsidRPr="008F0092">
              <w:rPr>
                <w:bCs/>
                <w:sz w:val="21"/>
              </w:rPr>
              <w:t>config</w:t>
            </w:r>
            <w:proofErr w:type="spellEnd"/>
            <w:r w:rsidRPr="008F0092">
              <w:rPr>
                <w:bCs/>
                <w:sz w:val="21"/>
              </w:rPr>
              <w:t>.</w:t>
            </w:r>
          </w:p>
        </w:tc>
        <w:tc>
          <w:tcPr>
            <w:tcW w:w="2543" w:type="dxa"/>
            <w:gridSpan w:val="2"/>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Reference value</w:t>
            </w:r>
          </w:p>
        </w:tc>
      </w:tr>
      <w:tr w:rsidR="00AF0EE6" w:rsidRPr="00AF0EE6" w:rsidTr="007B7971">
        <w:trPr>
          <w:trHeight w:val="264"/>
          <w:jc w:val="center"/>
        </w:trPr>
        <w:tc>
          <w:tcPr>
            <w:tcW w:w="0" w:type="auto"/>
            <w:vMerge/>
            <w:shd w:val="clear" w:color="auto" w:fill="FFFFFF" w:themeFill="background1"/>
            <w:vAlign w:val="center"/>
            <w:hideMark/>
          </w:tcPr>
          <w:p w:rsidR="00AF0EE6" w:rsidRPr="008F0092" w:rsidRDefault="00AF0EE6" w:rsidP="00AF0EE6">
            <w:pPr>
              <w:jc w:val="center"/>
              <w:rPr>
                <w:bCs/>
                <w:sz w:val="21"/>
              </w:rPr>
            </w:pPr>
          </w:p>
        </w:tc>
        <w:tc>
          <w:tcPr>
            <w:tcW w:w="0" w:type="auto"/>
            <w:vMerge/>
            <w:shd w:val="clear" w:color="auto" w:fill="FFFFFF" w:themeFill="background1"/>
            <w:vAlign w:val="center"/>
            <w:hideMark/>
          </w:tcPr>
          <w:p w:rsidR="00AF0EE6" w:rsidRPr="008F0092" w:rsidRDefault="00AF0EE6" w:rsidP="00AF0EE6">
            <w:pPr>
              <w:jc w:val="center"/>
              <w:rPr>
                <w:bCs/>
                <w:sz w:val="21"/>
              </w:rPr>
            </w:pPr>
          </w:p>
        </w:tc>
        <w:tc>
          <w:tcPr>
            <w:tcW w:w="0" w:type="auto"/>
            <w:vMerge/>
            <w:shd w:val="clear" w:color="auto" w:fill="FFFFFF" w:themeFill="background1"/>
            <w:vAlign w:val="center"/>
            <w:hideMark/>
          </w:tcPr>
          <w:p w:rsidR="00AF0EE6" w:rsidRPr="008F0092" w:rsidRDefault="00AF0EE6" w:rsidP="00AF0EE6">
            <w:pPr>
              <w:jc w:val="center"/>
              <w:rPr>
                <w:bCs/>
                <w:sz w:val="21"/>
              </w:rPr>
            </w:pPr>
          </w:p>
        </w:tc>
        <w:tc>
          <w:tcPr>
            <w:tcW w:w="0" w:type="auto"/>
            <w:vMerge/>
            <w:shd w:val="clear" w:color="auto" w:fill="FFFFFF" w:themeFill="background1"/>
            <w:vAlign w:val="center"/>
            <w:hideMark/>
          </w:tcPr>
          <w:p w:rsidR="00AF0EE6" w:rsidRPr="008F0092" w:rsidRDefault="00AF0EE6" w:rsidP="00AF0EE6">
            <w:pPr>
              <w:jc w:val="center"/>
              <w:rPr>
                <w:bCs/>
                <w:sz w:val="21"/>
              </w:rPr>
            </w:pPr>
          </w:p>
        </w:tc>
        <w:tc>
          <w:tcPr>
            <w:tcW w:w="0" w:type="auto"/>
            <w:vMerge/>
            <w:shd w:val="clear" w:color="auto" w:fill="FFFFFF" w:themeFill="background1"/>
            <w:vAlign w:val="center"/>
            <w:hideMark/>
          </w:tcPr>
          <w:p w:rsidR="00AF0EE6" w:rsidRPr="008F0092" w:rsidRDefault="00AF0EE6" w:rsidP="00AF0EE6">
            <w:pPr>
              <w:jc w:val="center"/>
              <w:rPr>
                <w:bCs/>
                <w:sz w:val="21"/>
              </w:rPr>
            </w:pPr>
          </w:p>
        </w:tc>
        <w:tc>
          <w:tcPr>
            <w:tcW w:w="1788" w:type="dxa"/>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Fraction of maximum throughput (%)</w:t>
            </w:r>
          </w:p>
        </w:tc>
        <w:tc>
          <w:tcPr>
            <w:tcW w:w="756" w:type="dxa"/>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SNR (dB)</w:t>
            </w:r>
          </w:p>
        </w:tc>
      </w:tr>
      <w:tr w:rsidR="00AF0EE6" w:rsidRPr="00AF0EE6" w:rsidTr="007B7971">
        <w:trPr>
          <w:trHeight w:val="134"/>
          <w:jc w:val="center"/>
        </w:trPr>
        <w:tc>
          <w:tcPr>
            <w:tcW w:w="1770" w:type="dxa"/>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20MHz</w:t>
            </w:r>
          </w:p>
        </w:tc>
        <w:tc>
          <w:tcPr>
            <w:tcW w:w="1213" w:type="dxa"/>
            <w:shd w:val="clear" w:color="auto" w:fill="FFFFFF" w:themeFill="background1"/>
            <w:tcMar>
              <w:top w:w="15" w:type="dxa"/>
              <w:left w:w="108" w:type="dxa"/>
              <w:bottom w:w="0" w:type="dxa"/>
              <w:right w:w="108" w:type="dxa"/>
            </w:tcMar>
            <w:vAlign w:val="center"/>
            <w:hideMark/>
          </w:tcPr>
          <w:p w:rsidR="002F6F20" w:rsidRPr="008F0092" w:rsidRDefault="008B79B6" w:rsidP="00AF0EE6">
            <w:pPr>
              <w:jc w:val="center"/>
              <w:rPr>
                <w:bCs/>
                <w:sz w:val="21"/>
              </w:rPr>
            </w:pPr>
            <w:r w:rsidRPr="008F0092">
              <w:rPr>
                <w:bCs/>
                <w:sz w:val="21"/>
              </w:rPr>
              <w:t>R.</w:t>
            </w:r>
            <w:r w:rsidRPr="008F0092">
              <w:rPr>
                <w:rFonts w:hint="eastAsia"/>
                <w:bCs/>
                <w:sz w:val="21"/>
              </w:rPr>
              <w:t>X</w:t>
            </w:r>
            <w:r w:rsidR="00AF0EE6" w:rsidRPr="008F0092">
              <w:rPr>
                <w:bCs/>
                <w:sz w:val="21"/>
              </w:rPr>
              <w:t xml:space="preserve"> FDD</w:t>
            </w:r>
          </w:p>
        </w:tc>
        <w:tc>
          <w:tcPr>
            <w:tcW w:w="1132" w:type="dxa"/>
            <w:shd w:val="clear" w:color="auto" w:fill="FFFFFF" w:themeFill="background1"/>
            <w:tcMar>
              <w:top w:w="15" w:type="dxa"/>
              <w:left w:w="108" w:type="dxa"/>
              <w:bottom w:w="0" w:type="dxa"/>
              <w:right w:w="108" w:type="dxa"/>
            </w:tcMar>
            <w:hideMark/>
          </w:tcPr>
          <w:p w:rsidR="002F6F20" w:rsidRPr="008F0092" w:rsidRDefault="008B79B6" w:rsidP="00AF0EE6">
            <w:pPr>
              <w:jc w:val="center"/>
              <w:rPr>
                <w:bCs/>
                <w:sz w:val="21"/>
              </w:rPr>
            </w:pPr>
            <w:r w:rsidRPr="008F0092">
              <w:rPr>
                <w:bCs/>
                <w:sz w:val="21"/>
              </w:rPr>
              <w:t>OP.</w:t>
            </w:r>
            <w:r w:rsidRPr="008F0092">
              <w:rPr>
                <w:rFonts w:hint="eastAsia"/>
                <w:bCs/>
                <w:sz w:val="21"/>
              </w:rPr>
              <w:t>X</w:t>
            </w:r>
            <w:r w:rsidR="00AF0EE6" w:rsidRPr="008F0092">
              <w:rPr>
                <w:bCs/>
                <w:sz w:val="21"/>
              </w:rPr>
              <w:t xml:space="preserve"> FDD</w:t>
            </w:r>
          </w:p>
        </w:tc>
        <w:tc>
          <w:tcPr>
            <w:tcW w:w="1391" w:type="dxa"/>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EVA5</w:t>
            </w:r>
          </w:p>
        </w:tc>
        <w:tc>
          <w:tcPr>
            <w:tcW w:w="1378" w:type="dxa"/>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1x2 Low</w:t>
            </w:r>
          </w:p>
        </w:tc>
        <w:tc>
          <w:tcPr>
            <w:tcW w:w="1788" w:type="dxa"/>
            <w:shd w:val="clear" w:color="auto" w:fill="FFFFFF" w:themeFill="background1"/>
            <w:tcMar>
              <w:top w:w="15" w:type="dxa"/>
              <w:left w:w="108" w:type="dxa"/>
              <w:bottom w:w="0" w:type="dxa"/>
              <w:right w:w="108" w:type="dxa"/>
            </w:tcMar>
            <w:vAlign w:val="center"/>
            <w:hideMark/>
          </w:tcPr>
          <w:p w:rsidR="002F6F20" w:rsidRPr="008F0092" w:rsidRDefault="00AF0EE6" w:rsidP="00AF0EE6">
            <w:pPr>
              <w:jc w:val="center"/>
              <w:rPr>
                <w:bCs/>
                <w:sz w:val="21"/>
              </w:rPr>
            </w:pPr>
            <w:r w:rsidRPr="008F0092">
              <w:rPr>
                <w:bCs/>
                <w:sz w:val="21"/>
              </w:rPr>
              <w:t>70</w:t>
            </w:r>
          </w:p>
        </w:tc>
        <w:tc>
          <w:tcPr>
            <w:tcW w:w="756" w:type="dxa"/>
            <w:shd w:val="clear" w:color="auto" w:fill="FFFFFF" w:themeFill="background1"/>
            <w:tcMar>
              <w:top w:w="15" w:type="dxa"/>
              <w:left w:w="108" w:type="dxa"/>
              <w:bottom w:w="0" w:type="dxa"/>
              <w:right w:w="108" w:type="dxa"/>
            </w:tcMar>
            <w:vAlign w:val="center"/>
            <w:hideMark/>
          </w:tcPr>
          <w:p w:rsidR="002F6F20" w:rsidRPr="008F0092" w:rsidRDefault="008B79B6" w:rsidP="00AF0EE6">
            <w:pPr>
              <w:jc w:val="center"/>
              <w:rPr>
                <w:bCs/>
                <w:sz w:val="21"/>
              </w:rPr>
            </w:pPr>
            <w:r w:rsidRPr="008F0092">
              <w:rPr>
                <w:rFonts w:hint="eastAsia"/>
                <w:bCs/>
                <w:sz w:val="21"/>
              </w:rPr>
              <w:t>X</w:t>
            </w:r>
          </w:p>
        </w:tc>
      </w:tr>
    </w:tbl>
    <w:p w:rsidR="00AF0EE6" w:rsidRDefault="00AF0EE6" w:rsidP="008026B2">
      <w:pPr>
        <w:rPr>
          <w:lang w:val="en-US"/>
        </w:rPr>
      </w:pPr>
    </w:p>
    <w:p w:rsidR="007B7971" w:rsidRDefault="007B7971" w:rsidP="007B7971">
      <w:pPr>
        <w:pStyle w:val="Caption"/>
        <w:keepNext/>
      </w:pPr>
      <w:r>
        <w:rPr>
          <w:rFonts w:hint="eastAsia"/>
        </w:rPr>
        <w:t xml:space="preserve">Table-Z: </w:t>
      </w:r>
      <w:r w:rsidR="002142BA">
        <w:rPr>
          <w:rFonts w:hint="eastAsia"/>
        </w:rPr>
        <w:t>Performance requirements for different CA combinations</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1E0" w:firstRow="1" w:lastRow="1" w:firstColumn="1" w:lastColumn="1" w:noHBand="0" w:noVBand="0"/>
      </w:tblPr>
      <w:tblGrid>
        <w:gridCol w:w="1212"/>
        <w:gridCol w:w="2861"/>
        <w:gridCol w:w="3915"/>
        <w:gridCol w:w="1431"/>
      </w:tblGrid>
      <w:tr w:rsidR="00A828D1" w:rsidRPr="00A828D1" w:rsidTr="002142BA">
        <w:trPr>
          <w:trHeight w:val="621"/>
          <w:jc w:val="center"/>
        </w:trPr>
        <w:tc>
          <w:tcPr>
            <w:tcW w:w="1212" w:type="dxa"/>
            <w:shd w:val="clear" w:color="auto" w:fill="FFFFFF" w:themeFill="background1"/>
            <w:tcMar>
              <w:top w:w="15" w:type="dxa"/>
              <w:left w:w="108" w:type="dxa"/>
              <w:bottom w:w="0" w:type="dxa"/>
              <w:right w:w="108" w:type="dxa"/>
            </w:tcMar>
            <w:vAlign w:val="center"/>
            <w:hideMark/>
          </w:tcPr>
          <w:p w:rsidR="002F6F20" w:rsidRPr="007B7971" w:rsidRDefault="00A828D1" w:rsidP="00A828D1">
            <w:pPr>
              <w:jc w:val="center"/>
              <w:rPr>
                <w:bCs/>
                <w:sz w:val="21"/>
              </w:rPr>
            </w:pPr>
            <w:r w:rsidRPr="007B7971">
              <w:rPr>
                <w:bCs/>
                <w:sz w:val="21"/>
              </w:rPr>
              <w:t>Test num.</w:t>
            </w:r>
          </w:p>
        </w:tc>
        <w:tc>
          <w:tcPr>
            <w:tcW w:w="2861" w:type="dxa"/>
            <w:shd w:val="clear" w:color="auto" w:fill="FFFFFF" w:themeFill="background1"/>
            <w:tcMar>
              <w:top w:w="15" w:type="dxa"/>
              <w:left w:w="108" w:type="dxa"/>
              <w:bottom w:w="0" w:type="dxa"/>
              <w:right w:w="108" w:type="dxa"/>
            </w:tcMar>
            <w:vAlign w:val="center"/>
            <w:hideMark/>
          </w:tcPr>
          <w:p w:rsidR="002F6F20" w:rsidRPr="007B7971" w:rsidRDefault="00A828D1" w:rsidP="00A828D1">
            <w:pPr>
              <w:jc w:val="center"/>
              <w:rPr>
                <w:bCs/>
                <w:sz w:val="21"/>
              </w:rPr>
            </w:pPr>
            <w:r w:rsidRPr="007B7971">
              <w:rPr>
                <w:bCs/>
                <w:sz w:val="21"/>
              </w:rPr>
              <w:t>CA Band-width combination</w:t>
            </w:r>
          </w:p>
        </w:tc>
        <w:tc>
          <w:tcPr>
            <w:tcW w:w="3915" w:type="dxa"/>
            <w:shd w:val="clear" w:color="auto" w:fill="FFFFFF" w:themeFill="background1"/>
            <w:tcMar>
              <w:top w:w="15" w:type="dxa"/>
              <w:left w:w="108" w:type="dxa"/>
              <w:bottom w:w="0" w:type="dxa"/>
              <w:right w:w="108" w:type="dxa"/>
            </w:tcMar>
            <w:vAlign w:val="center"/>
            <w:hideMark/>
          </w:tcPr>
          <w:p w:rsidR="002F6F20" w:rsidRPr="007B7971" w:rsidRDefault="00A828D1" w:rsidP="00A828D1">
            <w:pPr>
              <w:jc w:val="center"/>
              <w:rPr>
                <w:bCs/>
                <w:sz w:val="21"/>
              </w:rPr>
            </w:pPr>
            <w:r w:rsidRPr="007B7971">
              <w:rPr>
                <w:bCs/>
                <w:sz w:val="21"/>
              </w:rPr>
              <w:t>Requirement</w:t>
            </w:r>
          </w:p>
        </w:tc>
        <w:tc>
          <w:tcPr>
            <w:tcW w:w="1431" w:type="dxa"/>
            <w:shd w:val="clear" w:color="auto" w:fill="FFFFFF" w:themeFill="background1"/>
            <w:tcMar>
              <w:top w:w="15" w:type="dxa"/>
              <w:left w:w="108" w:type="dxa"/>
              <w:bottom w:w="0" w:type="dxa"/>
              <w:right w:w="108" w:type="dxa"/>
            </w:tcMar>
            <w:vAlign w:val="center"/>
            <w:hideMark/>
          </w:tcPr>
          <w:p w:rsidR="002F6F20" w:rsidRPr="007B7971" w:rsidRDefault="00A828D1" w:rsidP="00A828D1">
            <w:pPr>
              <w:jc w:val="center"/>
              <w:rPr>
                <w:bCs/>
                <w:sz w:val="21"/>
              </w:rPr>
            </w:pPr>
            <w:r w:rsidRPr="007B7971">
              <w:rPr>
                <w:bCs/>
                <w:sz w:val="21"/>
              </w:rPr>
              <w:t>UE category</w:t>
            </w:r>
          </w:p>
        </w:tc>
      </w:tr>
      <w:tr w:rsidR="00A828D1" w:rsidRPr="00A828D1" w:rsidTr="002142BA">
        <w:trPr>
          <w:trHeight w:val="728"/>
          <w:jc w:val="center"/>
        </w:trPr>
        <w:tc>
          <w:tcPr>
            <w:tcW w:w="1212" w:type="dxa"/>
            <w:shd w:val="clear" w:color="auto" w:fill="FFFFFF" w:themeFill="background1"/>
            <w:tcMar>
              <w:top w:w="15" w:type="dxa"/>
              <w:left w:w="108" w:type="dxa"/>
              <w:bottom w:w="0" w:type="dxa"/>
              <w:right w:w="108" w:type="dxa"/>
            </w:tcMar>
            <w:vAlign w:val="center"/>
            <w:hideMark/>
          </w:tcPr>
          <w:p w:rsidR="002F6F20" w:rsidRPr="007B7971" w:rsidRDefault="00A828D1" w:rsidP="00A828D1">
            <w:pPr>
              <w:jc w:val="center"/>
              <w:rPr>
                <w:bCs/>
                <w:sz w:val="21"/>
              </w:rPr>
            </w:pPr>
            <w:r w:rsidRPr="007B7971">
              <w:rPr>
                <w:bCs/>
                <w:sz w:val="21"/>
              </w:rPr>
              <w:t>1</w:t>
            </w:r>
          </w:p>
        </w:tc>
        <w:tc>
          <w:tcPr>
            <w:tcW w:w="2861" w:type="dxa"/>
            <w:shd w:val="clear" w:color="auto" w:fill="FFFFFF" w:themeFill="background1"/>
            <w:tcMar>
              <w:top w:w="15" w:type="dxa"/>
              <w:left w:w="108" w:type="dxa"/>
              <w:bottom w:w="0" w:type="dxa"/>
              <w:right w:w="108" w:type="dxa"/>
            </w:tcMar>
            <w:vAlign w:val="center"/>
            <w:hideMark/>
          </w:tcPr>
          <w:p w:rsidR="002F6F20" w:rsidRPr="007B7971" w:rsidRDefault="00A828D1" w:rsidP="00A828D1">
            <w:pPr>
              <w:jc w:val="center"/>
              <w:rPr>
                <w:bCs/>
                <w:sz w:val="21"/>
              </w:rPr>
            </w:pPr>
            <w:r w:rsidRPr="007B7971">
              <w:rPr>
                <w:bCs/>
                <w:sz w:val="21"/>
              </w:rPr>
              <w:t>10MHz + 20MHz</w:t>
            </w:r>
          </w:p>
        </w:tc>
        <w:tc>
          <w:tcPr>
            <w:tcW w:w="3915" w:type="dxa"/>
            <w:shd w:val="clear" w:color="auto" w:fill="FFFFFF" w:themeFill="background1"/>
            <w:tcMar>
              <w:top w:w="15" w:type="dxa"/>
              <w:left w:w="108" w:type="dxa"/>
              <w:bottom w:w="0" w:type="dxa"/>
              <w:right w:w="108" w:type="dxa"/>
            </w:tcMar>
            <w:vAlign w:val="center"/>
            <w:hideMark/>
          </w:tcPr>
          <w:p w:rsidR="00A828D1" w:rsidRPr="007C505D" w:rsidRDefault="00A828D1" w:rsidP="00A828D1">
            <w:pPr>
              <w:jc w:val="center"/>
              <w:rPr>
                <w:b/>
                <w:bCs/>
                <w:i/>
                <w:sz w:val="21"/>
              </w:rPr>
            </w:pPr>
            <w:r w:rsidRPr="007C505D">
              <w:rPr>
                <w:b/>
                <w:bCs/>
                <w:i/>
                <w:sz w:val="21"/>
              </w:rPr>
              <w:t>Requirements for Frame type 1 or 2 is  as  specified in Table-X per CC</w:t>
            </w:r>
          </w:p>
          <w:p w:rsidR="002F6F20" w:rsidRPr="007B7971" w:rsidRDefault="00A828D1" w:rsidP="00A828D1">
            <w:pPr>
              <w:jc w:val="center"/>
              <w:rPr>
                <w:bCs/>
                <w:sz w:val="21"/>
              </w:rPr>
            </w:pPr>
            <w:r w:rsidRPr="007C505D">
              <w:rPr>
                <w:b/>
                <w:bCs/>
                <w:i/>
                <w:sz w:val="21"/>
              </w:rPr>
              <w:t xml:space="preserve">Requirements for Frame type 3 is as specified in Table  </w:t>
            </w:r>
            <w:r w:rsidRPr="007C505D">
              <w:rPr>
                <w:rFonts w:hint="eastAsia"/>
                <w:b/>
                <w:bCs/>
                <w:i/>
                <w:sz w:val="21"/>
              </w:rPr>
              <w:t>Table</w:t>
            </w:r>
            <w:r w:rsidRPr="007C505D">
              <w:rPr>
                <w:b/>
                <w:bCs/>
                <w:i/>
                <w:sz w:val="21"/>
              </w:rPr>
              <w:t>-Y per CC</w:t>
            </w:r>
          </w:p>
        </w:tc>
        <w:tc>
          <w:tcPr>
            <w:tcW w:w="1431" w:type="dxa"/>
            <w:shd w:val="clear" w:color="auto" w:fill="FFFFFF" w:themeFill="background1"/>
            <w:tcMar>
              <w:top w:w="15" w:type="dxa"/>
              <w:left w:w="108" w:type="dxa"/>
              <w:bottom w:w="0" w:type="dxa"/>
              <w:right w:w="108" w:type="dxa"/>
            </w:tcMar>
            <w:vAlign w:val="center"/>
            <w:hideMark/>
          </w:tcPr>
          <w:p w:rsidR="002F6F20" w:rsidRPr="007B7971" w:rsidRDefault="00A828D1" w:rsidP="00A828D1">
            <w:pPr>
              <w:jc w:val="center"/>
              <w:rPr>
                <w:bCs/>
                <w:sz w:val="21"/>
              </w:rPr>
            </w:pPr>
            <w:r w:rsidRPr="007B7971">
              <w:rPr>
                <w:bCs/>
                <w:sz w:val="21"/>
              </w:rPr>
              <w:t>≥5</w:t>
            </w:r>
          </w:p>
        </w:tc>
      </w:tr>
    </w:tbl>
    <w:p w:rsidR="00A828D1" w:rsidRDefault="00A828D1" w:rsidP="00A828D1">
      <w:pPr>
        <w:rPr>
          <w:bCs/>
          <w:sz w:val="13"/>
        </w:rPr>
      </w:pPr>
    </w:p>
    <w:p w:rsidR="007C505D" w:rsidRDefault="007C505D" w:rsidP="007C505D">
      <w:pPr>
        <w:rPr>
          <w:lang w:val="en-US"/>
        </w:rPr>
      </w:pPr>
      <w:r>
        <w:rPr>
          <w:rFonts w:hint="eastAsia"/>
          <w:lang w:val="en-US"/>
        </w:rPr>
        <w:lastRenderedPageBreak/>
        <w:t xml:space="preserve">In Table-Z, the performance for different CA combination is given. If the component carrier is license carrier, the performance requirements of Table-X will be applied. If the component carrier is unlicensed carrier, the performance requirements of Table-Y will be applied. </w:t>
      </w:r>
    </w:p>
    <w:p w:rsidR="00B873BC" w:rsidRDefault="00B873BC" w:rsidP="007C505D">
      <w:pPr>
        <w:rPr>
          <w:lang w:val="en-US"/>
        </w:rPr>
      </w:pPr>
      <w:r>
        <w:rPr>
          <w:rFonts w:hint="eastAsia"/>
          <w:lang w:val="en-US"/>
        </w:rPr>
        <w:t xml:space="preserve">For the performance pool of license carrier, we can reuse what we have defined in 36.101. For the performance pool of unlicensed carrier, new performance requirements will be defined. </w:t>
      </w:r>
    </w:p>
    <w:p w:rsidR="00B611A8" w:rsidRDefault="00B611A8" w:rsidP="00BC42A8">
      <w:pPr>
        <w:pStyle w:val="Caption"/>
        <w:jc w:val="both"/>
      </w:pPr>
      <w:proofErr w:type="gramStart"/>
      <w:r>
        <w:t xml:space="preserve">Proposal  </w:t>
      </w:r>
      <w:proofErr w:type="gramEnd"/>
      <w:r>
        <w:fldChar w:fldCharType="begin"/>
      </w:r>
      <w:r>
        <w:instrText xml:space="preserve"> SEQ Proposal_ \* ARABIC </w:instrText>
      </w:r>
      <w:r>
        <w:fldChar w:fldCharType="separate"/>
      </w:r>
      <w:r w:rsidR="0060134A">
        <w:rPr>
          <w:noProof/>
        </w:rPr>
        <w:t>8</w:t>
      </w:r>
      <w:r>
        <w:fldChar w:fldCharType="end"/>
      </w:r>
      <w:r>
        <w:rPr>
          <w:rFonts w:hint="eastAsia"/>
        </w:rPr>
        <w:t xml:space="preserve">: </w:t>
      </w:r>
      <w:r w:rsidR="00BC42A8">
        <w:rPr>
          <w:rFonts w:hint="eastAsia"/>
        </w:rPr>
        <w:t>The performance requirements are band agnostic</w:t>
      </w:r>
      <w:r w:rsidR="000B74A4">
        <w:rPr>
          <w:rFonts w:hint="eastAsia"/>
        </w:rPr>
        <w:t xml:space="preserve"> and band combination agnostic</w:t>
      </w:r>
      <w:r w:rsidR="00BC42A8">
        <w:rPr>
          <w:rFonts w:hint="eastAsia"/>
        </w:rPr>
        <w:t xml:space="preserve">. Two performance pools will be defined for LAA, one pool is for license carrier, and one pool is for unlicensed </w:t>
      </w:r>
      <w:r w:rsidR="00BC42A8">
        <w:t>carrier</w:t>
      </w:r>
      <w:r w:rsidR="00BC42A8">
        <w:rPr>
          <w:rFonts w:hint="eastAsia"/>
        </w:rPr>
        <w:t>. The pool for license carrier can be reused</w:t>
      </w:r>
    </w:p>
    <w:p w:rsidR="00A74193" w:rsidRDefault="00A74193" w:rsidP="00A74193">
      <w:pPr>
        <w:pStyle w:val="Heading1"/>
      </w:pPr>
      <w:r>
        <w:rPr>
          <w:rFonts w:hint="eastAsia"/>
        </w:rPr>
        <w:t xml:space="preserve">Test </w:t>
      </w:r>
      <w:r>
        <w:t>metric</w:t>
      </w:r>
    </w:p>
    <w:p w:rsidR="00A74193" w:rsidRDefault="00A74193" w:rsidP="00A74193">
      <w:r>
        <w:rPr>
          <w:rFonts w:hint="eastAsia"/>
        </w:rPr>
        <w:t xml:space="preserve">In legacy </w:t>
      </w:r>
      <w:r>
        <w:t>demodulation</w:t>
      </w:r>
      <w:r>
        <w:rPr>
          <w:rFonts w:hint="eastAsia"/>
        </w:rPr>
        <w:t xml:space="preserve"> test, </w:t>
      </w:r>
      <w:r>
        <w:t>the</w:t>
      </w:r>
      <w:r>
        <w:rPr>
          <w:rFonts w:hint="eastAsia"/>
        </w:rPr>
        <w:t xml:space="preserve"> SNR at the 70% of the peak </w:t>
      </w:r>
      <w:r>
        <w:t>throughput</w:t>
      </w:r>
      <w:r>
        <w:rPr>
          <w:rFonts w:hint="eastAsia"/>
        </w:rPr>
        <w:t xml:space="preserve"> is used for the metric </w:t>
      </w:r>
      <w:r>
        <w:t>definition</w:t>
      </w:r>
      <w:r>
        <w:rPr>
          <w:rFonts w:hint="eastAsia"/>
        </w:rPr>
        <w:t xml:space="preserve">. In legacy test, the peak throughput is predicted. However, in </w:t>
      </w:r>
      <w:r>
        <w:t>unlicensed</w:t>
      </w:r>
      <w:r>
        <w:rPr>
          <w:rFonts w:hint="eastAsia"/>
        </w:rPr>
        <w:t xml:space="preserve"> carrier, the control or data channel transmissions are subjected to LBT. Hence, the peak throughput is unpredicted. Hence, this metric </w:t>
      </w:r>
      <w:r>
        <w:t>cannot</w:t>
      </w:r>
      <w:r>
        <w:rPr>
          <w:rFonts w:hint="eastAsia"/>
        </w:rPr>
        <w:t xml:space="preserve"> be reused. We can replace this metric with the SNR at the 70% of the user throughput. The user throughput is defined as:</w:t>
      </w:r>
    </w:p>
    <w:p w:rsidR="00A74193" w:rsidRPr="00A74193" w:rsidRDefault="00A74193" w:rsidP="00A74193">
      <w:pPr>
        <w:rPr>
          <w:lang w:val="en-US"/>
        </w:rPr>
      </w:pPr>
      <m:oMathPara>
        <m:oMathParaPr>
          <m:jc m:val="centerGroup"/>
        </m:oMathParaPr>
        <m:oMath>
          <m:r>
            <m:rPr>
              <m:sty m:val="bi"/>
            </m:rPr>
            <w:rPr>
              <w:rFonts w:ascii="Cambria Math" w:hAnsi="Cambria Math"/>
              <w:lang w:val="en-US"/>
            </w:rPr>
            <m:t>User throughput </m:t>
          </m:r>
          <m:r>
            <w:rPr>
              <w:rFonts w:ascii="Cambria Math" w:hAnsi="Cambria Math"/>
              <w:lang w:val="en-US"/>
            </w:rPr>
            <m:t> = </m:t>
          </m:r>
          <m:f>
            <m:fPr>
              <m:ctrlPr>
                <w:rPr>
                  <w:rFonts w:ascii="Cambria Math" w:hAnsi="Cambria Math"/>
                  <w:i/>
                  <w:iCs/>
                  <w:lang w:val="en-US"/>
                </w:rPr>
              </m:ctrlPr>
            </m:fPr>
            <m:num>
              <m:r>
                <w:rPr>
                  <w:rFonts w:ascii="Cambria Math" w:hAnsi="Cambria Math"/>
                  <w:lang w:val="en-US"/>
                </w:rPr>
                <m:t>amount of data</m:t>
              </m:r>
            </m:num>
            <m:den>
              <m:r>
                <w:rPr>
                  <w:rFonts w:ascii="Cambria Math" w:hAnsi="Cambria Math"/>
                  <w:lang w:val="en-US"/>
                </w:rPr>
                <m:t>time needed for the amount of data </m:t>
              </m:r>
            </m:den>
          </m:f>
        </m:oMath>
      </m:oMathPara>
    </w:p>
    <w:p w:rsidR="00C504F5" w:rsidRDefault="00A74193" w:rsidP="00A74193">
      <w:r>
        <w:rPr>
          <w:rFonts w:hint="eastAsia"/>
        </w:rPr>
        <w:t xml:space="preserve">For the </w:t>
      </w:r>
      <w:r>
        <w:t>contr</w:t>
      </w:r>
      <w:r>
        <w:rPr>
          <w:rFonts w:hint="eastAsia"/>
        </w:rPr>
        <w:t xml:space="preserve">ol channel, the BLER metric can be reused. </w:t>
      </w:r>
    </w:p>
    <w:p w:rsidR="00C504F5" w:rsidRPr="00C504F5" w:rsidRDefault="00C504F5" w:rsidP="00C504F5">
      <w:pPr>
        <w:pStyle w:val="Caption"/>
        <w:jc w:val="left"/>
      </w:pPr>
      <w:r>
        <w:t xml:space="preserve">Proposal  </w:t>
      </w:r>
      <w:r>
        <w:fldChar w:fldCharType="begin"/>
      </w:r>
      <w:r>
        <w:instrText xml:space="preserve"> SEQ Proposal_ \* ARABIC </w:instrText>
      </w:r>
      <w:r>
        <w:fldChar w:fldCharType="separate"/>
      </w:r>
      <w:r w:rsidR="0060134A">
        <w:rPr>
          <w:noProof/>
        </w:rPr>
        <w:t>9</w:t>
      </w:r>
      <w:r>
        <w:fldChar w:fldCharType="end"/>
      </w:r>
      <w:r>
        <w:rPr>
          <w:rFonts w:hint="eastAsia"/>
        </w:rPr>
        <w:t>：</w:t>
      </w:r>
      <w:r>
        <w:rPr>
          <w:rFonts w:hint="eastAsia"/>
        </w:rPr>
        <w:t xml:space="preserve">Update the test metric for PDSCH with user </w:t>
      </w:r>
      <w:r>
        <w:t>throughput</w:t>
      </w:r>
      <w:r>
        <w:rPr>
          <w:rFonts w:hint="eastAsia"/>
        </w:rPr>
        <w:t xml:space="preserve"> rather than peak throughput, and reuse the BLER metric for the </w:t>
      </w:r>
      <w:r>
        <w:t>control</w:t>
      </w:r>
      <w:r>
        <w:rPr>
          <w:rFonts w:hint="eastAsia"/>
        </w:rPr>
        <w:t xml:space="preserve"> channel. </w:t>
      </w:r>
    </w:p>
    <w:p w:rsidR="00A828D1" w:rsidRPr="00A828D1" w:rsidRDefault="00A828D1" w:rsidP="00A828D1">
      <w:pPr>
        <w:rPr>
          <w:bCs/>
          <w:sz w:val="13"/>
        </w:rPr>
      </w:pPr>
    </w:p>
    <w:p w:rsidR="004C76F0" w:rsidRPr="008813CF" w:rsidRDefault="00A4778D" w:rsidP="00A4778D">
      <w:pPr>
        <w:pStyle w:val="Heading1"/>
        <w:rPr>
          <w:lang w:val="en-US"/>
        </w:rPr>
      </w:pPr>
      <w:r>
        <w:rPr>
          <w:lang w:val="en-US"/>
        </w:rPr>
        <w:t>C</w:t>
      </w:r>
      <w:r>
        <w:rPr>
          <w:rFonts w:hint="eastAsia"/>
          <w:lang w:val="en-US"/>
        </w:rPr>
        <w:t>onclusion</w:t>
      </w:r>
    </w:p>
    <w:p w:rsidR="00467006" w:rsidRDefault="001F1EC7" w:rsidP="00821235">
      <w:pPr>
        <w:rPr>
          <w:lang w:val="en-US"/>
        </w:rPr>
      </w:pPr>
      <w:r>
        <w:rPr>
          <w:rFonts w:hint="eastAsia"/>
          <w:lang w:val="en-US"/>
        </w:rPr>
        <w:t>In this paper, we</w:t>
      </w:r>
      <w:r w:rsidR="0023700C">
        <w:rPr>
          <w:rFonts w:hint="eastAsia"/>
          <w:lang w:val="en-US"/>
        </w:rPr>
        <w:t xml:space="preserve"> give our view on general test setup and also discuss the requirements applicability for LAA demodulation. </w:t>
      </w:r>
      <w:r w:rsidR="0023700C">
        <w:rPr>
          <w:lang w:val="en-US"/>
        </w:rPr>
        <w:t>W</w:t>
      </w:r>
      <w:r w:rsidR="0023700C">
        <w:rPr>
          <w:rFonts w:hint="eastAsia"/>
          <w:lang w:val="en-US"/>
        </w:rPr>
        <w:t xml:space="preserve">e </w:t>
      </w:r>
      <w:r w:rsidR="0023700C">
        <w:rPr>
          <w:lang w:val="en-US"/>
        </w:rPr>
        <w:t>have</w:t>
      </w:r>
      <w:r w:rsidR="0023700C">
        <w:rPr>
          <w:rFonts w:hint="eastAsia"/>
          <w:lang w:val="en-US"/>
        </w:rPr>
        <w:t xml:space="preserve"> the following proposals:</w:t>
      </w:r>
    </w:p>
    <w:p w:rsidR="0023700C" w:rsidRDefault="0023700C" w:rsidP="0023700C">
      <w:pPr>
        <w:pStyle w:val="Caption"/>
        <w:jc w:val="both"/>
        <w:rPr>
          <w:lang w:val="en-US"/>
        </w:rPr>
      </w:pPr>
      <w:proofErr w:type="gramStart"/>
      <w:r>
        <w:t xml:space="preserve">Proposal  </w:t>
      </w:r>
      <w:r w:rsidR="00A90764">
        <w:rPr>
          <w:rFonts w:hint="eastAsia"/>
        </w:rPr>
        <w:t>1</w:t>
      </w:r>
      <w:proofErr w:type="gramEnd"/>
      <w:r>
        <w:rPr>
          <w:rFonts w:hint="eastAsia"/>
          <w:lang w:val="en-US"/>
        </w:rPr>
        <w:t xml:space="preserve">: The performance requirements shall cover up to 4 LAA </w:t>
      </w:r>
      <w:proofErr w:type="spellStart"/>
      <w:r>
        <w:rPr>
          <w:rFonts w:hint="eastAsia"/>
          <w:lang w:val="en-US"/>
        </w:rPr>
        <w:t>Scells</w:t>
      </w:r>
      <w:proofErr w:type="spellEnd"/>
      <w:r>
        <w:rPr>
          <w:rFonts w:hint="eastAsia"/>
          <w:lang w:val="en-US"/>
        </w:rPr>
        <w:t xml:space="preserve"> and one primary cell </w:t>
      </w:r>
    </w:p>
    <w:p w:rsidR="0023700C" w:rsidRDefault="0023700C" w:rsidP="0023700C">
      <w:pPr>
        <w:pStyle w:val="Caption"/>
        <w:jc w:val="left"/>
      </w:pPr>
      <w:proofErr w:type="gramStart"/>
      <w:r>
        <w:t xml:space="preserve">Proposal  </w:t>
      </w:r>
      <w:r w:rsidR="00A90764">
        <w:rPr>
          <w:rFonts w:hint="eastAsia"/>
        </w:rPr>
        <w:t>2</w:t>
      </w:r>
      <w:proofErr w:type="gramEnd"/>
      <w:r>
        <w:rPr>
          <w:rFonts w:hint="eastAsia"/>
        </w:rPr>
        <w:t>: One or two CRS symbols structure is configured for DMRS-based transmission mode and all CRS symbols structure is configured for CRS-based transmission mode</w:t>
      </w:r>
    </w:p>
    <w:p w:rsidR="0023700C" w:rsidRDefault="0023700C" w:rsidP="0023700C">
      <w:pPr>
        <w:pStyle w:val="Caption"/>
        <w:jc w:val="left"/>
      </w:pPr>
      <w:proofErr w:type="gramStart"/>
      <w:r>
        <w:t xml:space="preserve">Proposal  </w:t>
      </w:r>
      <w:r w:rsidR="00A90764">
        <w:rPr>
          <w:rFonts w:hint="eastAsia"/>
        </w:rPr>
        <w:t>3</w:t>
      </w:r>
      <w:proofErr w:type="gramEnd"/>
      <w:r>
        <w:rPr>
          <w:rFonts w:hint="eastAsia"/>
        </w:rPr>
        <w:t xml:space="preserve">: One or two CRS symbols structure is configured for </w:t>
      </w:r>
      <w:proofErr w:type="spellStart"/>
      <w:r>
        <w:rPr>
          <w:rFonts w:hint="eastAsia"/>
        </w:rPr>
        <w:t>ePDCCH</w:t>
      </w:r>
      <w:proofErr w:type="spellEnd"/>
      <w:r>
        <w:rPr>
          <w:rFonts w:hint="eastAsia"/>
        </w:rPr>
        <w:t xml:space="preserve"> performance and all CRS symbols structure is configured for PDCCH performance</w:t>
      </w:r>
    </w:p>
    <w:p w:rsidR="0023700C" w:rsidRPr="009C74D0" w:rsidRDefault="0023700C" w:rsidP="0023700C">
      <w:pPr>
        <w:pStyle w:val="Caption"/>
        <w:jc w:val="left"/>
        <w:rPr>
          <w:lang w:val="en-US"/>
        </w:rPr>
      </w:pPr>
      <w:proofErr w:type="gramStart"/>
      <w:r>
        <w:t xml:space="preserve">Proposal  </w:t>
      </w:r>
      <w:r w:rsidR="00A90764">
        <w:rPr>
          <w:rFonts w:hint="eastAsia"/>
        </w:rPr>
        <w:t>4</w:t>
      </w:r>
      <w:proofErr w:type="gramEnd"/>
      <w:r>
        <w:rPr>
          <w:rFonts w:hint="eastAsia"/>
        </w:rPr>
        <w:t xml:space="preserve">: 2x2 can be set as the basic setup for all demodulation </w:t>
      </w:r>
      <w:r>
        <w:t>and</w:t>
      </w:r>
      <w:r>
        <w:rPr>
          <w:rFonts w:hint="eastAsia"/>
        </w:rPr>
        <w:t xml:space="preserve"> CSI, and it is better to have one PDSCH test case to cover 4x2 case (i.e., TM4).</w:t>
      </w:r>
    </w:p>
    <w:p w:rsidR="0023700C" w:rsidRDefault="0023700C" w:rsidP="0023700C">
      <w:pPr>
        <w:pStyle w:val="Caption"/>
        <w:jc w:val="both"/>
      </w:pPr>
      <w:proofErr w:type="gramStart"/>
      <w:r>
        <w:t xml:space="preserve">Proposal  </w:t>
      </w:r>
      <w:r w:rsidR="00A90764">
        <w:rPr>
          <w:rFonts w:hint="eastAsia"/>
        </w:rPr>
        <w:t>5</w:t>
      </w:r>
      <w:proofErr w:type="gramEnd"/>
      <w:r>
        <w:rPr>
          <w:rFonts w:hint="eastAsia"/>
        </w:rPr>
        <w:t xml:space="preserve">: Both CRS-based transmission scheme(s) and DMRS-based transmission scheme shall be covered in LAA demodulation. </w:t>
      </w:r>
    </w:p>
    <w:p w:rsidR="0023700C" w:rsidRDefault="0023700C" w:rsidP="0023700C">
      <w:pPr>
        <w:pStyle w:val="Caption"/>
        <w:jc w:val="both"/>
      </w:pPr>
      <w:r>
        <w:t xml:space="preserve">Proposal </w:t>
      </w:r>
      <w:r w:rsidR="00A90764">
        <w:rPr>
          <w:rFonts w:hint="eastAsia"/>
        </w:rPr>
        <w:t>6</w:t>
      </w:r>
      <w:r>
        <w:rPr>
          <w:rFonts w:hint="eastAsia"/>
        </w:rPr>
        <w:t xml:space="preserve">: For CRS-based transmission schemes, TM3 is configured for 2x2 </w:t>
      </w:r>
      <w:proofErr w:type="gramStart"/>
      <w:r>
        <w:rPr>
          <w:rFonts w:hint="eastAsia"/>
        </w:rPr>
        <w:t>case</w:t>
      </w:r>
      <w:proofErr w:type="gramEnd"/>
      <w:r>
        <w:rPr>
          <w:rFonts w:hint="eastAsia"/>
        </w:rPr>
        <w:t xml:space="preserve"> </w:t>
      </w:r>
      <w:r>
        <w:t>and</w:t>
      </w:r>
      <w:r>
        <w:rPr>
          <w:rFonts w:hint="eastAsia"/>
        </w:rPr>
        <w:t xml:space="preserve"> TM4 is configured for 4x2 case; For DMRS-based transmission scheme, TM9 is configured for 2x2. </w:t>
      </w:r>
    </w:p>
    <w:p w:rsidR="0023700C" w:rsidRDefault="0023700C" w:rsidP="00821235">
      <w:pPr>
        <w:rPr>
          <w:b/>
        </w:rPr>
      </w:pPr>
      <w:r w:rsidRPr="0023700C">
        <w:rPr>
          <w:b/>
        </w:rPr>
        <w:t xml:space="preserve">Proposal </w:t>
      </w:r>
      <w:r w:rsidR="00A90764">
        <w:rPr>
          <w:rFonts w:hint="eastAsia"/>
          <w:b/>
        </w:rPr>
        <w:t>7</w:t>
      </w:r>
      <w:r w:rsidRPr="0023700C">
        <w:rPr>
          <w:rFonts w:hint="eastAsia"/>
          <w:b/>
        </w:rPr>
        <w:t xml:space="preserve">: MMSE-IRC receiver is set as the reference </w:t>
      </w:r>
      <w:r w:rsidRPr="0023700C">
        <w:rPr>
          <w:b/>
        </w:rPr>
        <w:t>receiver</w:t>
      </w:r>
      <w:r w:rsidRPr="0023700C">
        <w:rPr>
          <w:rFonts w:hint="eastAsia"/>
          <w:b/>
        </w:rPr>
        <w:t xml:space="preserve"> in LAA demodulation</w:t>
      </w:r>
    </w:p>
    <w:p w:rsidR="0023700C" w:rsidRDefault="0023700C" w:rsidP="0023700C">
      <w:pPr>
        <w:pStyle w:val="Caption"/>
        <w:jc w:val="both"/>
      </w:pPr>
      <w:r>
        <w:t xml:space="preserve">Proposal </w:t>
      </w:r>
      <w:r w:rsidR="00A90764">
        <w:rPr>
          <w:rFonts w:hint="eastAsia"/>
        </w:rPr>
        <w:t>8</w:t>
      </w:r>
      <w:r>
        <w:rPr>
          <w:rFonts w:hint="eastAsia"/>
        </w:rPr>
        <w:t xml:space="preserve">: The performance requirements are band agnostic and band combination agnostic. Two performance pools will be defined for LAA, one pool is for license carrier, and one pool is for unlicensed </w:t>
      </w:r>
      <w:r>
        <w:t>carrier</w:t>
      </w:r>
      <w:r>
        <w:rPr>
          <w:rFonts w:hint="eastAsia"/>
        </w:rPr>
        <w:t>. The pool for license carrier can be reused</w:t>
      </w:r>
    </w:p>
    <w:p w:rsidR="0060134A" w:rsidRPr="00C504F5" w:rsidRDefault="0060134A" w:rsidP="00AC17C9">
      <w:pPr>
        <w:pStyle w:val="Caption"/>
        <w:jc w:val="both"/>
      </w:pPr>
      <w:r>
        <w:t>Proposal</w:t>
      </w:r>
      <w:r w:rsidR="00A90764">
        <w:rPr>
          <w:rFonts w:hint="eastAsia"/>
        </w:rPr>
        <w:t xml:space="preserve"> 9</w:t>
      </w:r>
      <w:r w:rsidR="00CB7FBC">
        <w:rPr>
          <w:rFonts w:hint="eastAsia"/>
        </w:rPr>
        <w:t xml:space="preserve">: </w:t>
      </w:r>
      <w:r>
        <w:rPr>
          <w:rFonts w:hint="eastAsia"/>
        </w:rPr>
        <w:t xml:space="preserve">Update the test metric for PDSCH with user </w:t>
      </w:r>
      <w:r>
        <w:t>throughput</w:t>
      </w:r>
      <w:r>
        <w:rPr>
          <w:rFonts w:hint="eastAsia"/>
        </w:rPr>
        <w:t xml:space="preserve"> rather than peak throughput, and reuse the BLER metric for the </w:t>
      </w:r>
      <w:r>
        <w:t>control</w:t>
      </w:r>
      <w:r>
        <w:rPr>
          <w:rFonts w:hint="eastAsia"/>
        </w:rPr>
        <w:t xml:space="preserve"> channel. </w:t>
      </w:r>
    </w:p>
    <w:p w:rsidR="0060134A" w:rsidRPr="0060134A" w:rsidRDefault="0060134A" w:rsidP="0060134A"/>
    <w:p w:rsidR="00AD6198" w:rsidRDefault="00AD6198" w:rsidP="00AD6198">
      <w:pPr>
        <w:pStyle w:val="Heading1"/>
        <w:rPr>
          <w:lang w:val="en-US"/>
        </w:rPr>
      </w:pPr>
      <w:r>
        <w:rPr>
          <w:rFonts w:hint="eastAsia"/>
          <w:lang w:val="en-US"/>
        </w:rPr>
        <w:t>Reference</w:t>
      </w:r>
    </w:p>
    <w:p w:rsidR="003F4FEB" w:rsidRDefault="003F4FEB" w:rsidP="0012280B">
      <w:pPr>
        <w:pStyle w:val="ListParagraph"/>
        <w:numPr>
          <w:ilvl w:val="0"/>
          <w:numId w:val="2"/>
        </w:numPr>
        <w:ind w:firstLineChars="0"/>
        <w:rPr>
          <w:lang w:val="en-US"/>
        </w:rPr>
      </w:pPr>
      <w:bookmarkStart w:id="5" w:name="_Ref441763019"/>
      <w:r w:rsidRPr="003F4FEB">
        <w:rPr>
          <w:lang w:val="en-US"/>
        </w:rPr>
        <w:t>R4-158443</w:t>
      </w:r>
      <w:r>
        <w:rPr>
          <w:rFonts w:hint="eastAsia"/>
          <w:lang w:val="en-US"/>
        </w:rPr>
        <w:t xml:space="preserve">, </w:t>
      </w:r>
      <w:r w:rsidRPr="003F4FEB">
        <w:rPr>
          <w:lang w:val="en-US"/>
        </w:rPr>
        <w:t>Introduction of RF requirements for LAA operation</w:t>
      </w:r>
      <w:r>
        <w:rPr>
          <w:rFonts w:hint="eastAsia"/>
          <w:lang w:val="en-US"/>
        </w:rPr>
        <w:t xml:space="preserve">, </w:t>
      </w:r>
      <w:r>
        <w:rPr>
          <w:noProof/>
        </w:rPr>
        <w:t>Ericsson</w:t>
      </w:r>
      <w:r>
        <w:rPr>
          <w:rFonts w:hint="eastAsia"/>
          <w:noProof/>
        </w:rPr>
        <w:t>, Nov. 2015</w:t>
      </w:r>
      <w:bookmarkEnd w:id="5"/>
    </w:p>
    <w:p w:rsidR="00F554A4" w:rsidRDefault="00F554A4" w:rsidP="0012280B">
      <w:pPr>
        <w:pStyle w:val="ListParagraph"/>
        <w:numPr>
          <w:ilvl w:val="0"/>
          <w:numId w:val="2"/>
        </w:numPr>
        <w:ind w:firstLineChars="0"/>
        <w:rPr>
          <w:lang w:val="en-US"/>
        </w:rPr>
      </w:pPr>
      <w:bookmarkStart w:id="6" w:name="_Ref441763028"/>
      <w:r w:rsidRPr="00F554A4">
        <w:rPr>
          <w:lang w:val="en-US"/>
        </w:rPr>
        <w:t>R4-158270</w:t>
      </w:r>
      <w:r>
        <w:rPr>
          <w:rFonts w:hint="eastAsia"/>
          <w:lang w:val="en-US"/>
        </w:rPr>
        <w:t xml:space="preserve">, </w:t>
      </w:r>
      <w:r w:rsidRPr="00F554A4">
        <w:rPr>
          <w:lang w:val="en-US"/>
        </w:rPr>
        <w:t>TP for TR 36.853-13: LTE Advanced Carrier Aggregation of Band Combination (1A+LAA_C)</w:t>
      </w:r>
      <w:r>
        <w:rPr>
          <w:rFonts w:hint="eastAsia"/>
          <w:lang w:val="en-US"/>
        </w:rPr>
        <w:t xml:space="preserve">, </w:t>
      </w:r>
      <w:r w:rsidRPr="00F554A4">
        <w:rPr>
          <w:lang w:val="en-US"/>
        </w:rPr>
        <w:t>NTT DOCOMO, INC.</w:t>
      </w:r>
      <w:r>
        <w:rPr>
          <w:rFonts w:hint="eastAsia"/>
          <w:lang w:val="en-US"/>
        </w:rPr>
        <w:t xml:space="preserve"> </w:t>
      </w:r>
      <w:r w:rsidR="0037020E">
        <w:rPr>
          <w:rFonts w:hint="eastAsia"/>
          <w:lang w:val="en-US"/>
        </w:rPr>
        <w:t>Nov, 2015</w:t>
      </w:r>
      <w:bookmarkEnd w:id="6"/>
    </w:p>
    <w:p w:rsidR="008275BA" w:rsidRDefault="00F554A4" w:rsidP="0012280B">
      <w:pPr>
        <w:pStyle w:val="ListParagraph"/>
        <w:numPr>
          <w:ilvl w:val="0"/>
          <w:numId w:val="2"/>
        </w:numPr>
        <w:ind w:firstLineChars="0"/>
        <w:rPr>
          <w:lang w:val="en-US"/>
        </w:rPr>
      </w:pPr>
      <w:bookmarkStart w:id="7" w:name="_Ref441763033"/>
      <w:r w:rsidRPr="00F554A4">
        <w:rPr>
          <w:lang w:val="en-US"/>
        </w:rPr>
        <w:t>R4-158271</w:t>
      </w:r>
      <w:r w:rsidR="008275BA">
        <w:rPr>
          <w:rFonts w:hint="eastAsia"/>
          <w:lang w:val="en-US"/>
        </w:rPr>
        <w:t>,</w:t>
      </w:r>
      <w:r w:rsidRPr="00F554A4">
        <w:rPr>
          <w:lang w:val="en-US"/>
        </w:rPr>
        <w:t xml:space="preserve"> </w:t>
      </w:r>
      <w:r w:rsidR="008275BA" w:rsidRPr="008275BA">
        <w:rPr>
          <w:lang w:val="en-US"/>
        </w:rPr>
        <w:t>TP for TR 36.854-13: LTE Advanced Carrier Aggregation of Band Combination (1A+LAA_D)</w:t>
      </w:r>
      <w:r w:rsidR="008275BA">
        <w:rPr>
          <w:rFonts w:hint="eastAsia"/>
          <w:lang w:val="en-US"/>
        </w:rPr>
        <w:t xml:space="preserve">, </w:t>
      </w:r>
      <w:r w:rsidR="008275BA" w:rsidRPr="00F554A4">
        <w:rPr>
          <w:lang w:val="en-US"/>
        </w:rPr>
        <w:t>NTT DOCOMO, INC.</w:t>
      </w:r>
      <w:r w:rsidR="008275BA">
        <w:rPr>
          <w:rFonts w:hint="eastAsia"/>
          <w:lang w:val="en-US"/>
        </w:rPr>
        <w:t xml:space="preserve"> Nov, 2015</w:t>
      </w:r>
      <w:bookmarkEnd w:id="7"/>
    </w:p>
    <w:p w:rsidR="00F554A4" w:rsidRPr="00F554A4" w:rsidRDefault="00F554A4" w:rsidP="0012280B">
      <w:pPr>
        <w:pStyle w:val="ListParagraph"/>
        <w:numPr>
          <w:ilvl w:val="0"/>
          <w:numId w:val="2"/>
        </w:numPr>
        <w:ind w:firstLineChars="0"/>
        <w:rPr>
          <w:lang w:val="en-US"/>
        </w:rPr>
      </w:pPr>
      <w:bookmarkStart w:id="8" w:name="_Ref441763040"/>
      <w:r w:rsidRPr="00F554A4">
        <w:rPr>
          <w:lang w:val="en-US"/>
        </w:rPr>
        <w:t>R4-158272</w:t>
      </w:r>
      <w:r w:rsidR="008275BA">
        <w:rPr>
          <w:rFonts w:hint="eastAsia"/>
          <w:lang w:val="en-US"/>
        </w:rPr>
        <w:t xml:space="preserve">, </w:t>
      </w:r>
      <w:r w:rsidR="008275BA" w:rsidRPr="008275BA">
        <w:rPr>
          <w:lang w:val="en-US"/>
        </w:rPr>
        <w:t>TP for TR 36.857-13: LTE Advanced Carrier Aggregation of Band Combination (1A+LAA_E)</w:t>
      </w:r>
      <w:r w:rsidR="008275BA">
        <w:rPr>
          <w:rFonts w:hint="eastAsia"/>
          <w:lang w:val="en-US"/>
        </w:rPr>
        <w:t xml:space="preserve">, </w:t>
      </w:r>
      <w:r w:rsidR="008275BA" w:rsidRPr="00F554A4">
        <w:rPr>
          <w:lang w:val="en-US"/>
        </w:rPr>
        <w:t>NTT DOCOMO, INC.</w:t>
      </w:r>
      <w:r w:rsidR="008275BA">
        <w:rPr>
          <w:rFonts w:hint="eastAsia"/>
          <w:lang w:val="en-US"/>
        </w:rPr>
        <w:t xml:space="preserve"> Nov, 2015</w:t>
      </w:r>
      <w:bookmarkEnd w:id="8"/>
    </w:p>
    <w:p w:rsidR="00F554A4" w:rsidRPr="00F554A4" w:rsidRDefault="00F554A4" w:rsidP="0012280B">
      <w:pPr>
        <w:pStyle w:val="ListParagraph"/>
        <w:numPr>
          <w:ilvl w:val="0"/>
          <w:numId w:val="2"/>
        </w:numPr>
        <w:ind w:firstLineChars="0"/>
        <w:rPr>
          <w:lang w:val="en-US"/>
        </w:rPr>
      </w:pPr>
      <w:bookmarkStart w:id="9" w:name="_Ref441763046"/>
      <w:r w:rsidRPr="00F554A4">
        <w:rPr>
          <w:lang w:val="en-US"/>
        </w:rPr>
        <w:t>R4-158412</w:t>
      </w:r>
      <w:r w:rsidR="008275BA">
        <w:rPr>
          <w:rFonts w:hint="eastAsia"/>
          <w:lang w:val="en-US"/>
        </w:rPr>
        <w:t xml:space="preserve">, </w:t>
      </w:r>
      <w:r w:rsidR="008275BA" w:rsidRPr="008275BA">
        <w:rPr>
          <w:lang w:val="en-US"/>
        </w:rPr>
        <w:t>TP for TR 36.853-13: LTE Advanced Carrier Aggregation of Band Combination (3A+LAA_C)</w:t>
      </w:r>
      <w:r w:rsidR="008275BA">
        <w:rPr>
          <w:rFonts w:hint="eastAsia"/>
          <w:lang w:val="en-US"/>
        </w:rPr>
        <w:t xml:space="preserve">, </w:t>
      </w:r>
      <w:r w:rsidR="008275BA" w:rsidRPr="00F554A4">
        <w:rPr>
          <w:lang w:val="en-US"/>
        </w:rPr>
        <w:t>NTT DOCOMO, INC.</w:t>
      </w:r>
      <w:r w:rsidR="008275BA">
        <w:rPr>
          <w:rFonts w:hint="eastAsia"/>
          <w:lang w:val="en-US"/>
        </w:rPr>
        <w:t xml:space="preserve"> Nov, 2015</w:t>
      </w:r>
      <w:bookmarkEnd w:id="9"/>
    </w:p>
    <w:p w:rsidR="00F554A4" w:rsidRPr="00F554A4" w:rsidRDefault="00F554A4" w:rsidP="0012280B">
      <w:pPr>
        <w:pStyle w:val="ListParagraph"/>
        <w:numPr>
          <w:ilvl w:val="0"/>
          <w:numId w:val="2"/>
        </w:numPr>
        <w:ind w:firstLineChars="0"/>
        <w:rPr>
          <w:lang w:val="en-US"/>
        </w:rPr>
      </w:pPr>
      <w:bookmarkStart w:id="10" w:name="_Ref441763052"/>
      <w:r w:rsidRPr="00F554A4">
        <w:rPr>
          <w:lang w:val="en-US"/>
        </w:rPr>
        <w:t>R4-158267</w:t>
      </w:r>
      <w:r w:rsidR="008275BA">
        <w:rPr>
          <w:rFonts w:hint="eastAsia"/>
          <w:lang w:val="en-US"/>
        </w:rPr>
        <w:t xml:space="preserve">, </w:t>
      </w:r>
      <w:r w:rsidR="008275BA" w:rsidRPr="008275BA">
        <w:rPr>
          <w:lang w:val="en-US"/>
        </w:rPr>
        <w:t>TP for TR 36.854-13: LTE Advanced Carrier Aggregation of Band Combination (3A+LAA_D)</w:t>
      </w:r>
      <w:r w:rsidR="008275BA">
        <w:rPr>
          <w:rFonts w:hint="eastAsia"/>
          <w:lang w:val="en-US"/>
        </w:rPr>
        <w:t xml:space="preserve">, </w:t>
      </w:r>
      <w:r w:rsidR="008275BA" w:rsidRPr="00F554A4">
        <w:rPr>
          <w:lang w:val="en-US"/>
        </w:rPr>
        <w:t>NTT DOCOMO, INC.</w:t>
      </w:r>
      <w:r w:rsidR="008275BA">
        <w:rPr>
          <w:rFonts w:hint="eastAsia"/>
          <w:lang w:val="en-US"/>
        </w:rPr>
        <w:t xml:space="preserve"> Nov, 2015</w:t>
      </w:r>
      <w:bookmarkEnd w:id="10"/>
    </w:p>
    <w:p w:rsidR="00821235" w:rsidRDefault="00336EBB" w:rsidP="0012280B">
      <w:pPr>
        <w:pStyle w:val="ListParagraph"/>
        <w:numPr>
          <w:ilvl w:val="0"/>
          <w:numId w:val="2"/>
        </w:numPr>
        <w:ind w:firstLineChars="0"/>
        <w:rPr>
          <w:lang w:val="en-US"/>
        </w:rPr>
      </w:pPr>
      <w:bookmarkStart w:id="11" w:name="_Ref441763059"/>
      <w:r>
        <w:rPr>
          <w:lang w:val="en-US"/>
        </w:rPr>
        <w:t>R4-158268</w:t>
      </w:r>
      <w:r>
        <w:rPr>
          <w:rFonts w:hint="eastAsia"/>
          <w:lang w:val="en-US"/>
        </w:rPr>
        <w:t xml:space="preserve">, </w:t>
      </w:r>
      <w:r w:rsidRPr="00336EBB">
        <w:rPr>
          <w:lang w:val="en-US"/>
        </w:rPr>
        <w:t>TP for TR 36.857-13: LTE Advanced Carrier Aggregation of Band Combination (3A+LAA_E)</w:t>
      </w:r>
      <w:r>
        <w:rPr>
          <w:rFonts w:hint="eastAsia"/>
          <w:lang w:val="en-US"/>
        </w:rPr>
        <w:t xml:space="preserve">, </w:t>
      </w:r>
      <w:r w:rsidRPr="00F554A4">
        <w:rPr>
          <w:lang w:val="en-US"/>
        </w:rPr>
        <w:t>NTT DOCOMO, INC.</w:t>
      </w:r>
      <w:r>
        <w:rPr>
          <w:rFonts w:hint="eastAsia"/>
          <w:lang w:val="en-US"/>
        </w:rPr>
        <w:t xml:space="preserve"> Nov, 2015</w:t>
      </w:r>
      <w:bookmarkEnd w:id="11"/>
    </w:p>
    <w:p w:rsidR="005C0E5F" w:rsidRPr="00821235" w:rsidRDefault="005C0E5F" w:rsidP="0012280B">
      <w:pPr>
        <w:pStyle w:val="ListParagraph"/>
        <w:numPr>
          <w:ilvl w:val="0"/>
          <w:numId w:val="2"/>
        </w:numPr>
        <w:ind w:firstLineChars="0"/>
        <w:rPr>
          <w:lang w:val="en-US"/>
        </w:rPr>
      </w:pPr>
      <w:bookmarkStart w:id="12" w:name="_Ref441764172"/>
      <w:r w:rsidRPr="005C0E5F">
        <w:rPr>
          <w:lang w:val="en-US"/>
        </w:rPr>
        <w:t>RAN1 Chairman’s Notes, 3GPP TSG RAN WG1 Meeting #83, 15th-22th Nov. 2015.</w:t>
      </w:r>
      <w:bookmarkEnd w:id="12"/>
    </w:p>
    <w:sectPr w:rsidR="005C0E5F" w:rsidRPr="00821235">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937" w:rsidRDefault="004E1937">
      <w:r>
        <w:separator/>
      </w:r>
    </w:p>
  </w:endnote>
  <w:endnote w:type="continuationSeparator" w:id="0">
    <w:p w:rsidR="004E1937" w:rsidRDefault="004E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FCA" w:rsidRDefault="00431FC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37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379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937" w:rsidRDefault="004E1937">
      <w:r>
        <w:separator/>
      </w:r>
    </w:p>
  </w:footnote>
  <w:footnote w:type="continuationSeparator" w:id="0">
    <w:p w:rsidR="004E1937" w:rsidRDefault="004E1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FCA" w:rsidRDefault="00431FC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ED2773"/>
    <w:multiLevelType w:val="hybridMultilevel"/>
    <w:tmpl w:val="76EA7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BE0C2F"/>
    <w:multiLevelType w:val="hybridMultilevel"/>
    <w:tmpl w:val="9774BC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6F2F1BF2"/>
    <w:multiLevelType w:val="hybridMultilevel"/>
    <w:tmpl w:val="94F8588C"/>
    <w:lvl w:ilvl="0" w:tplc="66F42FBC">
      <w:start w:val="1"/>
      <w:numFmt w:val="decimal"/>
      <w:lvlText w:val="[%1]."/>
      <w:lvlJc w:val="left"/>
      <w:pPr>
        <w:ind w:left="529" w:hanging="420"/>
      </w:pPr>
      <w:rPr>
        <w:rFonts w:hint="eastAsia"/>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0607C"/>
    <w:rsid w:val="00015A19"/>
    <w:rsid w:val="000173A2"/>
    <w:rsid w:val="00026EDA"/>
    <w:rsid w:val="00031496"/>
    <w:rsid w:val="0003279D"/>
    <w:rsid w:val="000329B2"/>
    <w:rsid w:val="00035A95"/>
    <w:rsid w:val="00040945"/>
    <w:rsid w:val="00040A52"/>
    <w:rsid w:val="00043AFB"/>
    <w:rsid w:val="0005240C"/>
    <w:rsid w:val="0005242B"/>
    <w:rsid w:val="00056880"/>
    <w:rsid w:val="000622D3"/>
    <w:rsid w:val="00072848"/>
    <w:rsid w:val="00075BE0"/>
    <w:rsid w:val="00080027"/>
    <w:rsid w:val="000818D7"/>
    <w:rsid w:val="00084CEC"/>
    <w:rsid w:val="000862FD"/>
    <w:rsid w:val="00086F37"/>
    <w:rsid w:val="00094048"/>
    <w:rsid w:val="000948D4"/>
    <w:rsid w:val="000958B7"/>
    <w:rsid w:val="000A0C1A"/>
    <w:rsid w:val="000A71EB"/>
    <w:rsid w:val="000A752C"/>
    <w:rsid w:val="000B26D2"/>
    <w:rsid w:val="000B3796"/>
    <w:rsid w:val="000B4583"/>
    <w:rsid w:val="000B506A"/>
    <w:rsid w:val="000B6F93"/>
    <w:rsid w:val="000B74A4"/>
    <w:rsid w:val="000B766F"/>
    <w:rsid w:val="000D2F80"/>
    <w:rsid w:val="000D390B"/>
    <w:rsid w:val="000F144F"/>
    <w:rsid w:val="000F4DAB"/>
    <w:rsid w:val="000F60B2"/>
    <w:rsid w:val="000F642E"/>
    <w:rsid w:val="00100E91"/>
    <w:rsid w:val="001121D2"/>
    <w:rsid w:val="001211CD"/>
    <w:rsid w:val="0012280B"/>
    <w:rsid w:val="001260F6"/>
    <w:rsid w:val="00127701"/>
    <w:rsid w:val="00131413"/>
    <w:rsid w:val="00131F98"/>
    <w:rsid w:val="00132565"/>
    <w:rsid w:val="00134A64"/>
    <w:rsid w:val="001445E2"/>
    <w:rsid w:val="00153BA9"/>
    <w:rsid w:val="00160FC2"/>
    <w:rsid w:val="00166D37"/>
    <w:rsid w:val="001722EE"/>
    <w:rsid w:val="001805E5"/>
    <w:rsid w:val="001807D0"/>
    <w:rsid w:val="00182390"/>
    <w:rsid w:val="001849C3"/>
    <w:rsid w:val="00187D58"/>
    <w:rsid w:val="0019129C"/>
    <w:rsid w:val="00197EC1"/>
    <w:rsid w:val="001A01BF"/>
    <w:rsid w:val="001A76F0"/>
    <w:rsid w:val="001B6327"/>
    <w:rsid w:val="001B6B90"/>
    <w:rsid w:val="001C18F0"/>
    <w:rsid w:val="001D6428"/>
    <w:rsid w:val="001D712B"/>
    <w:rsid w:val="001E01FE"/>
    <w:rsid w:val="001E2BCB"/>
    <w:rsid w:val="001E34AE"/>
    <w:rsid w:val="001E3EBE"/>
    <w:rsid w:val="001F001E"/>
    <w:rsid w:val="001F1EC7"/>
    <w:rsid w:val="001F2699"/>
    <w:rsid w:val="001F3029"/>
    <w:rsid w:val="001F5E00"/>
    <w:rsid w:val="001F65E3"/>
    <w:rsid w:val="001F7FF8"/>
    <w:rsid w:val="00201E92"/>
    <w:rsid w:val="002046E6"/>
    <w:rsid w:val="002142BA"/>
    <w:rsid w:val="00216465"/>
    <w:rsid w:val="00216D83"/>
    <w:rsid w:val="00221532"/>
    <w:rsid w:val="0023122F"/>
    <w:rsid w:val="002367CC"/>
    <w:rsid w:val="0023700C"/>
    <w:rsid w:val="00237E20"/>
    <w:rsid w:val="00240BB8"/>
    <w:rsid w:val="002508E6"/>
    <w:rsid w:val="00255BE0"/>
    <w:rsid w:val="00261554"/>
    <w:rsid w:val="00262B97"/>
    <w:rsid w:val="00270647"/>
    <w:rsid w:val="00272573"/>
    <w:rsid w:val="00290F74"/>
    <w:rsid w:val="002910A4"/>
    <w:rsid w:val="00296E1B"/>
    <w:rsid w:val="002977EA"/>
    <w:rsid w:val="002A06FE"/>
    <w:rsid w:val="002B087F"/>
    <w:rsid w:val="002B0D2F"/>
    <w:rsid w:val="002B25D8"/>
    <w:rsid w:val="002B5041"/>
    <w:rsid w:val="002B7B45"/>
    <w:rsid w:val="002D5960"/>
    <w:rsid w:val="002E3DBB"/>
    <w:rsid w:val="002E6775"/>
    <w:rsid w:val="002F3570"/>
    <w:rsid w:val="002F3C02"/>
    <w:rsid w:val="002F6970"/>
    <w:rsid w:val="002F6F20"/>
    <w:rsid w:val="00300390"/>
    <w:rsid w:val="00303D52"/>
    <w:rsid w:val="00313466"/>
    <w:rsid w:val="003168F2"/>
    <w:rsid w:val="003216DA"/>
    <w:rsid w:val="00322E95"/>
    <w:rsid w:val="0033227D"/>
    <w:rsid w:val="00333B0F"/>
    <w:rsid w:val="00336153"/>
    <w:rsid w:val="00336EBB"/>
    <w:rsid w:val="00337353"/>
    <w:rsid w:val="003459AA"/>
    <w:rsid w:val="00346C25"/>
    <w:rsid w:val="00346E75"/>
    <w:rsid w:val="00355CE4"/>
    <w:rsid w:val="0037020E"/>
    <w:rsid w:val="00371150"/>
    <w:rsid w:val="00373313"/>
    <w:rsid w:val="00373ACB"/>
    <w:rsid w:val="003925D2"/>
    <w:rsid w:val="0039330D"/>
    <w:rsid w:val="0039349C"/>
    <w:rsid w:val="00394EF9"/>
    <w:rsid w:val="0039592D"/>
    <w:rsid w:val="00395C55"/>
    <w:rsid w:val="003A00FA"/>
    <w:rsid w:val="003A0E9F"/>
    <w:rsid w:val="003A28C9"/>
    <w:rsid w:val="003A4340"/>
    <w:rsid w:val="003A5799"/>
    <w:rsid w:val="003B3D2A"/>
    <w:rsid w:val="003C2448"/>
    <w:rsid w:val="003C3F6C"/>
    <w:rsid w:val="003D0DEB"/>
    <w:rsid w:val="003D3928"/>
    <w:rsid w:val="003D39BB"/>
    <w:rsid w:val="003D5F0B"/>
    <w:rsid w:val="003E319E"/>
    <w:rsid w:val="003F2634"/>
    <w:rsid w:val="003F4FEB"/>
    <w:rsid w:val="003F6A34"/>
    <w:rsid w:val="003F7CB2"/>
    <w:rsid w:val="0041465A"/>
    <w:rsid w:val="00416EC3"/>
    <w:rsid w:val="00417694"/>
    <w:rsid w:val="00417811"/>
    <w:rsid w:val="00417946"/>
    <w:rsid w:val="00417F6B"/>
    <w:rsid w:val="00431FCA"/>
    <w:rsid w:val="00433FF0"/>
    <w:rsid w:val="00442F9C"/>
    <w:rsid w:val="00446090"/>
    <w:rsid w:val="00463C49"/>
    <w:rsid w:val="00467006"/>
    <w:rsid w:val="00470466"/>
    <w:rsid w:val="004719A7"/>
    <w:rsid w:val="004747AE"/>
    <w:rsid w:val="004926F8"/>
    <w:rsid w:val="00493C74"/>
    <w:rsid w:val="004950BA"/>
    <w:rsid w:val="00496BFD"/>
    <w:rsid w:val="004B0E99"/>
    <w:rsid w:val="004B11D1"/>
    <w:rsid w:val="004B37C6"/>
    <w:rsid w:val="004B565B"/>
    <w:rsid w:val="004B7041"/>
    <w:rsid w:val="004C03A4"/>
    <w:rsid w:val="004C5DA6"/>
    <w:rsid w:val="004C76F0"/>
    <w:rsid w:val="004C7F18"/>
    <w:rsid w:val="004D1869"/>
    <w:rsid w:val="004D2F23"/>
    <w:rsid w:val="004E1937"/>
    <w:rsid w:val="004E2ED7"/>
    <w:rsid w:val="0050529E"/>
    <w:rsid w:val="00506FCB"/>
    <w:rsid w:val="0051669B"/>
    <w:rsid w:val="00522618"/>
    <w:rsid w:val="005259A1"/>
    <w:rsid w:val="00536997"/>
    <w:rsid w:val="0054440F"/>
    <w:rsid w:val="0054541A"/>
    <w:rsid w:val="00547C15"/>
    <w:rsid w:val="0055050C"/>
    <w:rsid w:val="00555289"/>
    <w:rsid w:val="0055569C"/>
    <w:rsid w:val="005600E5"/>
    <w:rsid w:val="0056047C"/>
    <w:rsid w:val="0056275E"/>
    <w:rsid w:val="0056349B"/>
    <w:rsid w:val="00563AD9"/>
    <w:rsid w:val="00573E75"/>
    <w:rsid w:val="00580862"/>
    <w:rsid w:val="00591123"/>
    <w:rsid w:val="005A20B2"/>
    <w:rsid w:val="005A2E5A"/>
    <w:rsid w:val="005A3926"/>
    <w:rsid w:val="005A3FF2"/>
    <w:rsid w:val="005A447B"/>
    <w:rsid w:val="005A691D"/>
    <w:rsid w:val="005B055D"/>
    <w:rsid w:val="005B31A9"/>
    <w:rsid w:val="005B603D"/>
    <w:rsid w:val="005C0E5F"/>
    <w:rsid w:val="005C3035"/>
    <w:rsid w:val="005D564B"/>
    <w:rsid w:val="005D6A52"/>
    <w:rsid w:val="005E0115"/>
    <w:rsid w:val="005E1875"/>
    <w:rsid w:val="005E495F"/>
    <w:rsid w:val="005F3927"/>
    <w:rsid w:val="005F5A31"/>
    <w:rsid w:val="0060134A"/>
    <w:rsid w:val="00602C39"/>
    <w:rsid w:val="00605AFD"/>
    <w:rsid w:val="0061073A"/>
    <w:rsid w:val="00610EDA"/>
    <w:rsid w:val="0061263B"/>
    <w:rsid w:val="0061487F"/>
    <w:rsid w:val="00616889"/>
    <w:rsid w:val="0061696F"/>
    <w:rsid w:val="00620422"/>
    <w:rsid w:val="00621407"/>
    <w:rsid w:val="00625265"/>
    <w:rsid w:val="00630573"/>
    <w:rsid w:val="00632FFE"/>
    <w:rsid w:val="00642F05"/>
    <w:rsid w:val="0064488B"/>
    <w:rsid w:val="006567A8"/>
    <w:rsid w:val="00656CA4"/>
    <w:rsid w:val="0066427E"/>
    <w:rsid w:val="00664C8C"/>
    <w:rsid w:val="00665C7F"/>
    <w:rsid w:val="006700F4"/>
    <w:rsid w:val="0067294A"/>
    <w:rsid w:val="00682FBE"/>
    <w:rsid w:val="00683167"/>
    <w:rsid w:val="006856F5"/>
    <w:rsid w:val="00686289"/>
    <w:rsid w:val="006923ED"/>
    <w:rsid w:val="006935B7"/>
    <w:rsid w:val="006943DF"/>
    <w:rsid w:val="006950A4"/>
    <w:rsid w:val="00695AF3"/>
    <w:rsid w:val="00696840"/>
    <w:rsid w:val="006A0877"/>
    <w:rsid w:val="006A44AF"/>
    <w:rsid w:val="006B0901"/>
    <w:rsid w:val="006B3E21"/>
    <w:rsid w:val="006B57BD"/>
    <w:rsid w:val="006C1643"/>
    <w:rsid w:val="006C17E3"/>
    <w:rsid w:val="006C7E63"/>
    <w:rsid w:val="006D6ADE"/>
    <w:rsid w:val="006D7962"/>
    <w:rsid w:val="006D7AC8"/>
    <w:rsid w:val="006E349B"/>
    <w:rsid w:val="006E5023"/>
    <w:rsid w:val="006E57A2"/>
    <w:rsid w:val="006F1A4C"/>
    <w:rsid w:val="006F6346"/>
    <w:rsid w:val="007021F4"/>
    <w:rsid w:val="007054D1"/>
    <w:rsid w:val="007146CA"/>
    <w:rsid w:val="00722799"/>
    <w:rsid w:val="007279C9"/>
    <w:rsid w:val="007320E8"/>
    <w:rsid w:val="007434FE"/>
    <w:rsid w:val="007500D8"/>
    <w:rsid w:val="00752956"/>
    <w:rsid w:val="00754167"/>
    <w:rsid w:val="0075782D"/>
    <w:rsid w:val="00763DE0"/>
    <w:rsid w:val="007667F7"/>
    <w:rsid w:val="00767E12"/>
    <w:rsid w:val="00776695"/>
    <w:rsid w:val="007770BE"/>
    <w:rsid w:val="00780155"/>
    <w:rsid w:val="007866D1"/>
    <w:rsid w:val="00790F39"/>
    <w:rsid w:val="00792F1D"/>
    <w:rsid w:val="00793C26"/>
    <w:rsid w:val="007A0FEC"/>
    <w:rsid w:val="007A1074"/>
    <w:rsid w:val="007A3AC8"/>
    <w:rsid w:val="007A4DCF"/>
    <w:rsid w:val="007A5E21"/>
    <w:rsid w:val="007A60BB"/>
    <w:rsid w:val="007A6D6B"/>
    <w:rsid w:val="007B0882"/>
    <w:rsid w:val="007B0BC2"/>
    <w:rsid w:val="007B7971"/>
    <w:rsid w:val="007C4DC1"/>
    <w:rsid w:val="007C505D"/>
    <w:rsid w:val="007D19E4"/>
    <w:rsid w:val="007D5A90"/>
    <w:rsid w:val="007E10A2"/>
    <w:rsid w:val="007E5AE3"/>
    <w:rsid w:val="007F0599"/>
    <w:rsid w:val="007F2F54"/>
    <w:rsid w:val="007F54E9"/>
    <w:rsid w:val="008026B2"/>
    <w:rsid w:val="00806D5A"/>
    <w:rsid w:val="00811621"/>
    <w:rsid w:val="00811D59"/>
    <w:rsid w:val="0081426E"/>
    <w:rsid w:val="00821235"/>
    <w:rsid w:val="0082289A"/>
    <w:rsid w:val="008240D3"/>
    <w:rsid w:val="008261E6"/>
    <w:rsid w:val="00826524"/>
    <w:rsid w:val="008275BA"/>
    <w:rsid w:val="0083679B"/>
    <w:rsid w:val="00840706"/>
    <w:rsid w:val="00844F8A"/>
    <w:rsid w:val="00852DB4"/>
    <w:rsid w:val="00857CEA"/>
    <w:rsid w:val="00860BA1"/>
    <w:rsid w:val="0086417C"/>
    <w:rsid w:val="00865A45"/>
    <w:rsid w:val="008669E0"/>
    <w:rsid w:val="00874446"/>
    <w:rsid w:val="0087479C"/>
    <w:rsid w:val="00874860"/>
    <w:rsid w:val="0087659A"/>
    <w:rsid w:val="0087790D"/>
    <w:rsid w:val="008813CF"/>
    <w:rsid w:val="00882EC2"/>
    <w:rsid w:val="008856D9"/>
    <w:rsid w:val="008874BA"/>
    <w:rsid w:val="008966FB"/>
    <w:rsid w:val="008A43A0"/>
    <w:rsid w:val="008A45ED"/>
    <w:rsid w:val="008A799B"/>
    <w:rsid w:val="008B56EC"/>
    <w:rsid w:val="008B79B6"/>
    <w:rsid w:val="008C2B6A"/>
    <w:rsid w:val="008C7549"/>
    <w:rsid w:val="008D07F7"/>
    <w:rsid w:val="008F0092"/>
    <w:rsid w:val="008F403A"/>
    <w:rsid w:val="008F6F03"/>
    <w:rsid w:val="00907968"/>
    <w:rsid w:val="00910E4A"/>
    <w:rsid w:val="00911738"/>
    <w:rsid w:val="00914396"/>
    <w:rsid w:val="00915CF3"/>
    <w:rsid w:val="009165FF"/>
    <w:rsid w:val="0091799B"/>
    <w:rsid w:val="00927B1B"/>
    <w:rsid w:val="00933164"/>
    <w:rsid w:val="0094632A"/>
    <w:rsid w:val="00951222"/>
    <w:rsid w:val="0095517A"/>
    <w:rsid w:val="00957C5B"/>
    <w:rsid w:val="0096358B"/>
    <w:rsid w:val="0096428B"/>
    <w:rsid w:val="00975E3D"/>
    <w:rsid w:val="00977AE3"/>
    <w:rsid w:val="009804DC"/>
    <w:rsid w:val="00980E74"/>
    <w:rsid w:val="00981D8C"/>
    <w:rsid w:val="0098483D"/>
    <w:rsid w:val="00987A31"/>
    <w:rsid w:val="00994032"/>
    <w:rsid w:val="009A0911"/>
    <w:rsid w:val="009A4482"/>
    <w:rsid w:val="009A50AF"/>
    <w:rsid w:val="009A5EC6"/>
    <w:rsid w:val="009A7F90"/>
    <w:rsid w:val="009B1816"/>
    <w:rsid w:val="009B4610"/>
    <w:rsid w:val="009B7A8E"/>
    <w:rsid w:val="009C66E4"/>
    <w:rsid w:val="009C6923"/>
    <w:rsid w:val="009C7188"/>
    <w:rsid w:val="009C74D0"/>
    <w:rsid w:val="009D2144"/>
    <w:rsid w:val="009D3CE7"/>
    <w:rsid w:val="009E27AA"/>
    <w:rsid w:val="009E36A1"/>
    <w:rsid w:val="009E3AD0"/>
    <w:rsid w:val="009E43C8"/>
    <w:rsid w:val="009E4669"/>
    <w:rsid w:val="009E482C"/>
    <w:rsid w:val="009F6296"/>
    <w:rsid w:val="00A04429"/>
    <w:rsid w:val="00A15C9B"/>
    <w:rsid w:val="00A25E47"/>
    <w:rsid w:val="00A268E5"/>
    <w:rsid w:val="00A31F75"/>
    <w:rsid w:val="00A34A44"/>
    <w:rsid w:val="00A372E4"/>
    <w:rsid w:val="00A37B87"/>
    <w:rsid w:val="00A40B6B"/>
    <w:rsid w:val="00A46849"/>
    <w:rsid w:val="00A4778D"/>
    <w:rsid w:val="00A54D45"/>
    <w:rsid w:val="00A57C99"/>
    <w:rsid w:val="00A6547C"/>
    <w:rsid w:val="00A67C14"/>
    <w:rsid w:val="00A67EFE"/>
    <w:rsid w:val="00A71C2F"/>
    <w:rsid w:val="00A74193"/>
    <w:rsid w:val="00A828D1"/>
    <w:rsid w:val="00A847B3"/>
    <w:rsid w:val="00A85FBA"/>
    <w:rsid w:val="00A90764"/>
    <w:rsid w:val="00AB1CE4"/>
    <w:rsid w:val="00AC16E1"/>
    <w:rsid w:val="00AC17C9"/>
    <w:rsid w:val="00AC1B98"/>
    <w:rsid w:val="00AC24AD"/>
    <w:rsid w:val="00AC3F3D"/>
    <w:rsid w:val="00AC6493"/>
    <w:rsid w:val="00AD6198"/>
    <w:rsid w:val="00AE2DEC"/>
    <w:rsid w:val="00AE6CD8"/>
    <w:rsid w:val="00AE6D56"/>
    <w:rsid w:val="00AF0EE6"/>
    <w:rsid w:val="00AF21EF"/>
    <w:rsid w:val="00B001EB"/>
    <w:rsid w:val="00B056CA"/>
    <w:rsid w:val="00B070B4"/>
    <w:rsid w:val="00B110DF"/>
    <w:rsid w:val="00B1450B"/>
    <w:rsid w:val="00B2078D"/>
    <w:rsid w:val="00B20B2A"/>
    <w:rsid w:val="00B35C80"/>
    <w:rsid w:val="00B440E1"/>
    <w:rsid w:val="00B44923"/>
    <w:rsid w:val="00B512BC"/>
    <w:rsid w:val="00B54C7D"/>
    <w:rsid w:val="00B60F3E"/>
    <w:rsid w:val="00B611A8"/>
    <w:rsid w:val="00B641F2"/>
    <w:rsid w:val="00B66EDD"/>
    <w:rsid w:val="00B70F7F"/>
    <w:rsid w:val="00B73091"/>
    <w:rsid w:val="00B73BFA"/>
    <w:rsid w:val="00B74003"/>
    <w:rsid w:val="00B850BC"/>
    <w:rsid w:val="00B85B27"/>
    <w:rsid w:val="00B873BC"/>
    <w:rsid w:val="00B92A16"/>
    <w:rsid w:val="00B92FFA"/>
    <w:rsid w:val="00BA0A3C"/>
    <w:rsid w:val="00BA2BBC"/>
    <w:rsid w:val="00BA44F6"/>
    <w:rsid w:val="00BB1E99"/>
    <w:rsid w:val="00BB1F4D"/>
    <w:rsid w:val="00BB409B"/>
    <w:rsid w:val="00BB5645"/>
    <w:rsid w:val="00BB5E89"/>
    <w:rsid w:val="00BB79A5"/>
    <w:rsid w:val="00BC0DAE"/>
    <w:rsid w:val="00BC20FB"/>
    <w:rsid w:val="00BC42A8"/>
    <w:rsid w:val="00BC78AE"/>
    <w:rsid w:val="00BD0D7A"/>
    <w:rsid w:val="00BD6F66"/>
    <w:rsid w:val="00BE12AA"/>
    <w:rsid w:val="00BE14AD"/>
    <w:rsid w:val="00BE2DFA"/>
    <w:rsid w:val="00BF1CA6"/>
    <w:rsid w:val="00C023E7"/>
    <w:rsid w:val="00C024D5"/>
    <w:rsid w:val="00C0363F"/>
    <w:rsid w:val="00C03BEB"/>
    <w:rsid w:val="00C04461"/>
    <w:rsid w:val="00C1173A"/>
    <w:rsid w:val="00C148C4"/>
    <w:rsid w:val="00C40781"/>
    <w:rsid w:val="00C434D1"/>
    <w:rsid w:val="00C44F53"/>
    <w:rsid w:val="00C463D5"/>
    <w:rsid w:val="00C504F5"/>
    <w:rsid w:val="00C56F01"/>
    <w:rsid w:val="00C6639F"/>
    <w:rsid w:val="00C70167"/>
    <w:rsid w:val="00C70557"/>
    <w:rsid w:val="00C86115"/>
    <w:rsid w:val="00C87A8F"/>
    <w:rsid w:val="00CA7917"/>
    <w:rsid w:val="00CB0D6C"/>
    <w:rsid w:val="00CB435F"/>
    <w:rsid w:val="00CB63D4"/>
    <w:rsid w:val="00CB7FBC"/>
    <w:rsid w:val="00CC1B0D"/>
    <w:rsid w:val="00CD4651"/>
    <w:rsid w:val="00CE3671"/>
    <w:rsid w:val="00CE7F1A"/>
    <w:rsid w:val="00CF64AD"/>
    <w:rsid w:val="00D007E6"/>
    <w:rsid w:val="00D01B9D"/>
    <w:rsid w:val="00D02F0D"/>
    <w:rsid w:val="00D12CC8"/>
    <w:rsid w:val="00D13885"/>
    <w:rsid w:val="00D15046"/>
    <w:rsid w:val="00D236D6"/>
    <w:rsid w:val="00D24FE9"/>
    <w:rsid w:val="00D26336"/>
    <w:rsid w:val="00D335AA"/>
    <w:rsid w:val="00D422B2"/>
    <w:rsid w:val="00D42F81"/>
    <w:rsid w:val="00D50775"/>
    <w:rsid w:val="00D50C34"/>
    <w:rsid w:val="00D61540"/>
    <w:rsid w:val="00D63E5D"/>
    <w:rsid w:val="00D64EF3"/>
    <w:rsid w:val="00D74505"/>
    <w:rsid w:val="00D7588D"/>
    <w:rsid w:val="00D76D77"/>
    <w:rsid w:val="00D76E6F"/>
    <w:rsid w:val="00D809DE"/>
    <w:rsid w:val="00D846C7"/>
    <w:rsid w:val="00D90968"/>
    <w:rsid w:val="00D92EE6"/>
    <w:rsid w:val="00D94598"/>
    <w:rsid w:val="00D9639E"/>
    <w:rsid w:val="00D96B70"/>
    <w:rsid w:val="00D97012"/>
    <w:rsid w:val="00DA13D4"/>
    <w:rsid w:val="00DA1524"/>
    <w:rsid w:val="00DA1E30"/>
    <w:rsid w:val="00DB387A"/>
    <w:rsid w:val="00DB5AF6"/>
    <w:rsid w:val="00DB5E3C"/>
    <w:rsid w:val="00DB6FDB"/>
    <w:rsid w:val="00DC5CE0"/>
    <w:rsid w:val="00DD3E3A"/>
    <w:rsid w:val="00DD74F3"/>
    <w:rsid w:val="00DE0502"/>
    <w:rsid w:val="00DE4CC6"/>
    <w:rsid w:val="00DE6A33"/>
    <w:rsid w:val="00DE6F2C"/>
    <w:rsid w:val="00E02F3F"/>
    <w:rsid w:val="00E033DF"/>
    <w:rsid w:val="00E03F83"/>
    <w:rsid w:val="00E05786"/>
    <w:rsid w:val="00E05E51"/>
    <w:rsid w:val="00E145A0"/>
    <w:rsid w:val="00E14C91"/>
    <w:rsid w:val="00E16CDA"/>
    <w:rsid w:val="00E21DC2"/>
    <w:rsid w:val="00E367B4"/>
    <w:rsid w:val="00E3684E"/>
    <w:rsid w:val="00E41553"/>
    <w:rsid w:val="00E476CA"/>
    <w:rsid w:val="00E553CB"/>
    <w:rsid w:val="00E558BF"/>
    <w:rsid w:val="00E60C73"/>
    <w:rsid w:val="00E61808"/>
    <w:rsid w:val="00E63D49"/>
    <w:rsid w:val="00E64478"/>
    <w:rsid w:val="00E656CE"/>
    <w:rsid w:val="00E66CD0"/>
    <w:rsid w:val="00E67AA5"/>
    <w:rsid w:val="00E7004A"/>
    <w:rsid w:val="00E72DCD"/>
    <w:rsid w:val="00E72FE3"/>
    <w:rsid w:val="00E737B6"/>
    <w:rsid w:val="00E823EC"/>
    <w:rsid w:val="00E85CF8"/>
    <w:rsid w:val="00E879F9"/>
    <w:rsid w:val="00E90F36"/>
    <w:rsid w:val="00E9120C"/>
    <w:rsid w:val="00E954C0"/>
    <w:rsid w:val="00EA2B4B"/>
    <w:rsid w:val="00EB03B3"/>
    <w:rsid w:val="00EB23CD"/>
    <w:rsid w:val="00EC37EA"/>
    <w:rsid w:val="00EC4C67"/>
    <w:rsid w:val="00ED0A21"/>
    <w:rsid w:val="00ED6325"/>
    <w:rsid w:val="00EE0E01"/>
    <w:rsid w:val="00EF3302"/>
    <w:rsid w:val="00EF5CC3"/>
    <w:rsid w:val="00F0314B"/>
    <w:rsid w:val="00F06C2F"/>
    <w:rsid w:val="00F070BD"/>
    <w:rsid w:val="00F12EE5"/>
    <w:rsid w:val="00F143B6"/>
    <w:rsid w:val="00F20CC9"/>
    <w:rsid w:val="00F20DDB"/>
    <w:rsid w:val="00F213EE"/>
    <w:rsid w:val="00F22749"/>
    <w:rsid w:val="00F26B40"/>
    <w:rsid w:val="00F37293"/>
    <w:rsid w:val="00F3771D"/>
    <w:rsid w:val="00F41D48"/>
    <w:rsid w:val="00F4409B"/>
    <w:rsid w:val="00F45A77"/>
    <w:rsid w:val="00F46850"/>
    <w:rsid w:val="00F47F7C"/>
    <w:rsid w:val="00F552B1"/>
    <w:rsid w:val="00F554A4"/>
    <w:rsid w:val="00F61542"/>
    <w:rsid w:val="00F61AF9"/>
    <w:rsid w:val="00F6478A"/>
    <w:rsid w:val="00F72433"/>
    <w:rsid w:val="00F72B26"/>
    <w:rsid w:val="00F763DE"/>
    <w:rsid w:val="00F81A97"/>
    <w:rsid w:val="00F83A72"/>
    <w:rsid w:val="00F855B6"/>
    <w:rsid w:val="00F87F72"/>
    <w:rsid w:val="00F96431"/>
    <w:rsid w:val="00F96A87"/>
    <w:rsid w:val="00FA31EB"/>
    <w:rsid w:val="00FB2E1E"/>
    <w:rsid w:val="00FC2FF5"/>
    <w:rsid w:val="00FC6C08"/>
    <w:rsid w:val="00FE27D3"/>
    <w:rsid w:val="00FE40F6"/>
    <w:rsid w:val="00FE590E"/>
    <w:rsid w:val="00FF1D56"/>
    <w:rsid w:val="00FF646F"/>
    <w:rsid w:val="00FF7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styleId="NormalWeb">
    <w:name w:val="Normal (Web)"/>
    <w:basedOn w:val="Normal"/>
    <w:uiPriority w:val="99"/>
    <w:unhideWhenUsed/>
    <w:rsid w:val="00AF0EE6"/>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TAC">
    <w:name w:val="TAC"/>
    <w:basedOn w:val="Normal"/>
    <w:link w:val="TACChar"/>
    <w:rsid w:val="007320E8"/>
    <w:pPr>
      <w:keepNext/>
      <w:keepLines/>
      <w:spacing w:after="0"/>
      <w:jc w:val="center"/>
    </w:pPr>
    <w:rPr>
      <w:rFonts w:ascii="Arial" w:hAnsi="Arial"/>
      <w:sz w:val="18"/>
      <w:szCs w:val="18"/>
      <w:lang w:eastAsia="x-none"/>
    </w:rPr>
  </w:style>
  <w:style w:type="character" w:customStyle="1" w:styleId="TACChar">
    <w:name w:val="TAC Char"/>
    <w:link w:val="TAC"/>
    <w:rsid w:val="007320E8"/>
    <w:rPr>
      <w:rFonts w:ascii="Arial" w:hAnsi="Arial"/>
      <w:sz w:val="18"/>
      <w:szCs w:val="18"/>
      <w:lang w:val="en-GB" w:eastAsia="x-none"/>
    </w:rPr>
  </w:style>
  <w:style w:type="paragraph" w:styleId="PlainText">
    <w:name w:val="Plain Text"/>
    <w:basedOn w:val="Normal"/>
    <w:link w:val="PlainTextChar"/>
    <w:uiPriority w:val="99"/>
    <w:unhideWhenUsed/>
    <w:rsid w:val="00F554A4"/>
    <w:pPr>
      <w:widowControl w:val="0"/>
      <w:overflowPunct/>
      <w:autoSpaceDE/>
      <w:autoSpaceDN/>
      <w:adjustRightInd/>
      <w:spacing w:after="0"/>
      <w:jc w:val="left"/>
      <w:textAlignment w:val="auto"/>
    </w:pPr>
    <w:rPr>
      <w:rFonts w:ascii="Calibri" w:eastAsia="宋体" w:hAnsi="Courier New" w:cs="Courier New"/>
      <w:kern w:val="2"/>
      <w:sz w:val="21"/>
      <w:szCs w:val="21"/>
      <w:lang w:val="en-US"/>
    </w:rPr>
  </w:style>
  <w:style w:type="character" w:customStyle="1" w:styleId="PlainTextChar">
    <w:name w:val="Plain Text Char"/>
    <w:basedOn w:val="DefaultParagraphFont"/>
    <w:link w:val="PlainText"/>
    <w:uiPriority w:val="99"/>
    <w:rsid w:val="00F554A4"/>
    <w:rPr>
      <w:rFonts w:ascii="Calibri" w:eastAsia="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styleId="NormalWeb">
    <w:name w:val="Normal (Web)"/>
    <w:basedOn w:val="Normal"/>
    <w:uiPriority w:val="99"/>
    <w:unhideWhenUsed/>
    <w:rsid w:val="00AF0EE6"/>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TAC">
    <w:name w:val="TAC"/>
    <w:basedOn w:val="Normal"/>
    <w:link w:val="TACChar"/>
    <w:rsid w:val="007320E8"/>
    <w:pPr>
      <w:keepNext/>
      <w:keepLines/>
      <w:spacing w:after="0"/>
      <w:jc w:val="center"/>
    </w:pPr>
    <w:rPr>
      <w:rFonts w:ascii="Arial" w:hAnsi="Arial"/>
      <w:sz w:val="18"/>
      <w:szCs w:val="18"/>
      <w:lang w:eastAsia="x-none"/>
    </w:rPr>
  </w:style>
  <w:style w:type="character" w:customStyle="1" w:styleId="TACChar">
    <w:name w:val="TAC Char"/>
    <w:link w:val="TAC"/>
    <w:rsid w:val="007320E8"/>
    <w:rPr>
      <w:rFonts w:ascii="Arial" w:hAnsi="Arial"/>
      <w:sz w:val="18"/>
      <w:szCs w:val="18"/>
      <w:lang w:val="en-GB" w:eastAsia="x-none"/>
    </w:rPr>
  </w:style>
  <w:style w:type="paragraph" w:styleId="PlainText">
    <w:name w:val="Plain Text"/>
    <w:basedOn w:val="Normal"/>
    <w:link w:val="PlainTextChar"/>
    <w:uiPriority w:val="99"/>
    <w:unhideWhenUsed/>
    <w:rsid w:val="00F554A4"/>
    <w:pPr>
      <w:widowControl w:val="0"/>
      <w:overflowPunct/>
      <w:autoSpaceDE/>
      <w:autoSpaceDN/>
      <w:adjustRightInd/>
      <w:spacing w:after="0"/>
      <w:jc w:val="left"/>
      <w:textAlignment w:val="auto"/>
    </w:pPr>
    <w:rPr>
      <w:rFonts w:ascii="Calibri" w:eastAsia="宋体" w:hAnsi="Courier New" w:cs="Courier New"/>
      <w:kern w:val="2"/>
      <w:sz w:val="21"/>
      <w:szCs w:val="21"/>
      <w:lang w:val="en-US"/>
    </w:rPr>
  </w:style>
  <w:style w:type="character" w:customStyle="1" w:styleId="PlainTextChar">
    <w:name w:val="Plain Text Char"/>
    <w:basedOn w:val="DefaultParagraphFont"/>
    <w:link w:val="PlainText"/>
    <w:uiPriority w:val="99"/>
    <w:rsid w:val="00F554A4"/>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1046">
      <w:bodyDiv w:val="1"/>
      <w:marLeft w:val="0"/>
      <w:marRight w:val="0"/>
      <w:marTop w:val="0"/>
      <w:marBottom w:val="0"/>
      <w:divBdr>
        <w:top w:val="none" w:sz="0" w:space="0" w:color="auto"/>
        <w:left w:val="none" w:sz="0" w:space="0" w:color="auto"/>
        <w:bottom w:val="none" w:sz="0" w:space="0" w:color="auto"/>
        <w:right w:val="none" w:sz="0" w:space="0" w:color="auto"/>
      </w:divBdr>
      <w:divsChild>
        <w:div w:id="1842699564">
          <w:marLeft w:val="1411"/>
          <w:marRight w:val="0"/>
          <w:marTop w:val="77"/>
          <w:marBottom w:val="0"/>
          <w:divBdr>
            <w:top w:val="none" w:sz="0" w:space="0" w:color="auto"/>
            <w:left w:val="none" w:sz="0" w:space="0" w:color="auto"/>
            <w:bottom w:val="none" w:sz="0" w:space="0" w:color="auto"/>
            <w:right w:val="none" w:sz="0" w:space="0" w:color="auto"/>
          </w:divBdr>
        </w:div>
      </w:divsChild>
    </w:div>
    <w:div w:id="136923787">
      <w:bodyDiv w:val="1"/>
      <w:marLeft w:val="0"/>
      <w:marRight w:val="0"/>
      <w:marTop w:val="0"/>
      <w:marBottom w:val="0"/>
      <w:divBdr>
        <w:top w:val="none" w:sz="0" w:space="0" w:color="auto"/>
        <w:left w:val="none" w:sz="0" w:space="0" w:color="auto"/>
        <w:bottom w:val="none" w:sz="0" w:space="0" w:color="auto"/>
        <w:right w:val="none" w:sz="0" w:space="0" w:color="auto"/>
      </w:divBdr>
      <w:divsChild>
        <w:div w:id="1839268317">
          <w:marLeft w:val="835"/>
          <w:marRight w:val="0"/>
          <w:marTop w:val="77"/>
          <w:marBottom w:val="0"/>
          <w:divBdr>
            <w:top w:val="none" w:sz="0" w:space="0" w:color="auto"/>
            <w:left w:val="none" w:sz="0" w:space="0" w:color="auto"/>
            <w:bottom w:val="none" w:sz="0" w:space="0" w:color="auto"/>
            <w:right w:val="none" w:sz="0" w:space="0" w:color="auto"/>
          </w:divBdr>
        </w:div>
      </w:divsChild>
    </w:div>
    <w:div w:id="254947978">
      <w:bodyDiv w:val="1"/>
      <w:marLeft w:val="0"/>
      <w:marRight w:val="0"/>
      <w:marTop w:val="0"/>
      <w:marBottom w:val="0"/>
      <w:divBdr>
        <w:top w:val="none" w:sz="0" w:space="0" w:color="auto"/>
        <w:left w:val="none" w:sz="0" w:space="0" w:color="auto"/>
        <w:bottom w:val="none" w:sz="0" w:space="0" w:color="auto"/>
        <w:right w:val="none" w:sz="0" w:space="0" w:color="auto"/>
      </w:divBdr>
      <w:divsChild>
        <w:div w:id="706103894">
          <w:marLeft w:val="835"/>
          <w:marRight w:val="0"/>
          <w:marTop w:val="77"/>
          <w:marBottom w:val="0"/>
          <w:divBdr>
            <w:top w:val="none" w:sz="0" w:space="0" w:color="auto"/>
            <w:left w:val="none" w:sz="0" w:space="0" w:color="auto"/>
            <w:bottom w:val="none" w:sz="0" w:space="0" w:color="auto"/>
            <w:right w:val="none" w:sz="0" w:space="0" w:color="auto"/>
          </w:divBdr>
        </w:div>
        <w:div w:id="35929016">
          <w:marLeft w:val="1411"/>
          <w:marRight w:val="0"/>
          <w:marTop w:val="77"/>
          <w:marBottom w:val="0"/>
          <w:divBdr>
            <w:top w:val="none" w:sz="0" w:space="0" w:color="auto"/>
            <w:left w:val="none" w:sz="0" w:space="0" w:color="auto"/>
            <w:bottom w:val="none" w:sz="0" w:space="0" w:color="auto"/>
            <w:right w:val="none" w:sz="0" w:space="0" w:color="auto"/>
          </w:divBdr>
        </w:div>
      </w:divsChild>
    </w:div>
    <w:div w:id="374425718">
      <w:bodyDiv w:val="1"/>
      <w:marLeft w:val="0"/>
      <w:marRight w:val="0"/>
      <w:marTop w:val="0"/>
      <w:marBottom w:val="0"/>
      <w:divBdr>
        <w:top w:val="none" w:sz="0" w:space="0" w:color="auto"/>
        <w:left w:val="none" w:sz="0" w:space="0" w:color="auto"/>
        <w:bottom w:val="none" w:sz="0" w:space="0" w:color="auto"/>
        <w:right w:val="none" w:sz="0" w:space="0" w:color="auto"/>
      </w:divBdr>
      <w:divsChild>
        <w:div w:id="1672563347">
          <w:marLeft w:val="1973"/>
          <w:marRight w:val="0"/>
          <w:marTop w:val="67"/>
          <w:marBottom w:val="0"/>
          <w:divBdr>
            <w:top w:val="none" w:sz="0" w:space="0" w:color="auto"/>
            <w:left w:val="none" w:sz="0" w:space="0" w:color="auto"/>
            <w:bottom w:val="none" w:sz="0" w:space="0" w:color="auto"/>
            <w:right w:val="none" w:sz="0" w:space="0" w:color="auto"/>
          </w:divBdr>
        </w:div>
      </w:divsChild>
    </w:div>
    <w:div w:id="530724087">
      <w:bodyDiv w:val="1"/>
      <w:marLeft w:val="0"/>
      <w:marRight w:val="0"/>
      <w:marTop w:val="0"/>
      <w:marBottom w:val="0"/>
      <w:divBdr>
        <w:top w:val="none" w:sz="0" w:space="0" w:color="auto"/>
        <w:left w:val="none" w:sz="0" w:space="0" w:color="auto"/>
        <w:bottom w:val="none" w:sz="0" w:space="0" w:color="auto"/>
        <w:right w:val="none" w:sz="0" w:space="0" w:color="auto"/>
      </w:divBdr>
    </w:div>
    <w:div w:id="559168827">
      <w:bodyDiv w:val="1"/>
      <w:marLeft w:val="0"/>
      <w:marRight w:val="0"/>
      <w:marTop w:val="0"/>
      <w:marBottom w:val="0"/>
      <w:divBdr>
        <w:top w:val="none" w:sz="0" w:space="0" w:color="auto"/>
        <w:left w:val="none" w:sz="0" w:space="0" w:color="auto"/>
        <w:bottom w:val="none" w:sz="0" w:space="0" w:color="auto"/>
        <w:right w:val="none" w:sz="0" w:space="0" w:color="auto"/>
      </w:divBdr>
    </w:div>
    <w:div w:id="735008630">
      <w:bodyDiv w:val="1"/>
      <w:marLeft w:val="0"/>
      <w:marRight w:val="0"/>
      <w:marTop w:val="0"/>
      <w:marBottom w:val="0"/>
      <w:divBdr>
        <w:top w:val="none" w:sz="0" w:space="0" w:color="auto"/>
        <w:left w:val="none" w:sz="0" w:space="0" w:color="auto"/>
        <w:bottom w:val="none" w:sz="0" w:space="0" w:color="auto"/>
        <w:right w:val="none" w:sz="0" w:space="0" w:color="auto"/>
      </w:divBdr>
    </w:div>
    <w:div w:id="841359879">
      <w:bodyDiv w:val="1"/>
      <w:marLeft w:val="0"/>
      <w:marRight w:val="0"/>
      <w:marTop w:val="0"/>
      <w:marBottom w:val="0"/>
      <w:divBdr>
        <w:top w:val="none" w:sz="0" w:space="0" w:color="auto"/>
        <w:left w:val="none" w:sz="0" w:space="0" w:color="auto"/>
        <w:bottom w:val="none" w:sz="0" w:space="0" w:color="auto"/>
        <w:right w:val="none" w:sz="0" w:space="0" w:color="auto"/>
      </w:divBdr>
      <w:divsChild>
        <w:div w:id="1818647224">
          <w:marLeft w:val="1411"/>
          <w:marRight w:val="0"/>
          <w:marTop w:val="96"/>
          <w:marBottom w:val="0"/>
          <w:divBdr>
            <w:top w:val="none" w:sz="0" w:space="0" w:color="auto"/>
            <w:left w:val="none" w:sz="0" w:space="0" w:color="auto"/>
            <w:bottom w:val="none" w:sz="0" w:space="0" w:color="auto"/>
            <w:right w:val="none" w:sz="0" w:space="0" w:color="auto"/>
          </w:divBdr>
        </w:div>
        <w:div w:id="341860096">
          <w:marLeft w:val="1411"/>
          <w:marRight w:val="0"/>
          <w:marTop w:val="96"/>
          <w:marBottom w:val="0"/>
          <w:divBdr>
            <w:top w:val="none" w:sz="0" w:space="0" w:color="auto"/>
            <w:left w:val="none" w:sz="0" w:space="0" w:color="auto"/>
            <w:bottom w:val="none" w:sz="0" w:space="0" w:color="auto"/>
            <w:right w:val="none" w:sz="0" w:space="0" w:color="auto"/>
          </w:divBdr>
        </w:div>
      </w:divsChild>
    </w:div>
    <w:div w:id="873081702">
      <w:bodyDiv w:val="1"/>
      <w:marLeft w:val="0"/>
      <w:marRight w:val="0"/>
      <w:marTop w:val="0"/>
      <w:marBottom w:val="0"/>
      <w:divBdr>
        <w:top w:val="none" w:sz="0" w:space="0" w:color="auto"/>
        <w:left w:val="none" w:sz="0" w:space="0" w:color="auto"/>
        <w:bottom w:val="none" w:sz="0" w:space="0" w:color="auto"/>
        <w:right w:val="none" w:sz="0" w:space="0" w:color="auto"/>
      </w:divBdr>
      <w:divsChild>
        <w:div w:id="1986623292">
          <w:marLeft w:val="274"/>
          <w:marRight w:val="0"/>
          <w:marTop w:val="115"/>
          <w:marBottom w:val="0"/>
          <w:divBdr>
            <w:top w:val="none" w:sz="0" w:space="0" w:color="auto"/>
            <w:left w:val="none" w:sz="0" w:space="0" w:color="auto"/>
            <w:bottom w:val="none" w:sz="0" w:space="0" w:color="auto"/>
            <w:right w:val="none" w:sz="0" w:space="0" w:color="auto"/>
          </w:divBdr>
        </w:div>
        <w:div w:id="1645550337">
          <w:marLeft w:val="835"/>
          <w:marRight w:val="0"/>
          <w:marTop w:val="96"/>
          <w:marBottom w:val="0"/>
          <w:divBdr>
            <w:top w:val="none" w:sz="0" w:space="0" w:color="auto"/>
            <w:left w:val="none" w:sz="0" w:space="0" w:color="auto"/>
            <w:bottom w:val="none" w:sz="0" w:space="0" w:color="auto"/>
            <w:right w:val="none" w:sz="0" w:space="0" w:color="auto"/>
          </w:divBdr>
        </w:div>
        <w:div w:id="1699507064">
          <w:marLeft w:val="835"/>
          <w:marRight w:val="0"/>
          <w:marTop w:val="96"/>
          <w:marBottom w:val="0"/>
          <w:divBdr>
            <w:top w:val="none" w:sz="0" w:space="0" w:color="auto"/>
            <w:left w:val="none" w:sz="0" w:space="0" w:color="auto"/>
            <w:bottom w:val="none" w:sz="0" w:space="0" w:color="auto"/>
            <w:right w:val="none" w:sz="0" w:space="0" w:color="auto"/>
          </w:divBdr>
        </w:div>
        <w:div w:id="1632009943">
          <w:marLeft w:val="1411"/>
          <w:marRight w:val="0"/>
          <w:marTop w:val="96"/>
          <w:marBottom w:val="0"/>
          <w:divBdr>
            <w:top w:val="none" w:sz="0" w:space="0" w:color="auto"/>
            <w:left w:val="none" w:sz="0" w:space="0" w:color="auto"/>
            <w:bottom w:val="none" w:sz="0" w:space="0" w:color="auto"/>
            <w:right w:val="none" w:sz="0" w:space="0" w:color="auto"/>
          </w:divBdr>
        </w:div>
        <w:div w:id="1867214490">
          <w:marLeft w:val="1973"/>
          <w:marRight w:val="0"/>
          <w:marTop w:val="96"/>
          <w:marBottom w:val="0"/>
          <w:divBdr>
            <w:top w:val="none" w:sz="0" w:space="0" w:color="auto"/>
            <w:left w:val="none" w:sz="0" w:space="0" w:color="auto"/>
            <w:bottom w:val="none" w:sz="0" w:space="0" w:color="auto"/>
            <w:right w:val="none" w:sz="0" w:space="0" w:color="auto"/>
          </w:divBdr>
        </w:div>
        <w:div w:id="1766420392">
          <w:marLeft w:val="1973"/>
          <w:marRight w:val="0"/>
          <w:marTop w:val="96"/>
          <w:marBottom w:val="0"/>
          <w:divBdr>
            <w:top w:val="none" w:sz="0" w:space="0" w:color="auto"/>
            <w:left w:val="none" w:sz="0" w:space="0" w:color="auto"/>
            <w:bottom w:val="none" w:sz="0" w:space="0" w:color="auto"/>
            <w:right w:val="none" w:sz="0" w:space="0" w:color="auto"/>
          </w:divBdr>
        </w:div>
      </w:divsChild>
    </w:div>
    <w:div w:id="877426155">
      <w:bodyDiv w:val="1"/>
      <w:marLeft w:val="0"/>
      <w:marRight w:val="0"/>
      <w:marTop w:val="0"/>
      <w:marBottom w:val="0"/>
      <w:divBdr>
        <w:top w:val="none" w:sz="0" w:space="0" w:color="auto"/>
        <w:left w:val="none" w:sz="0" w:space="0" w:color="auto"/>
        <w:bottom w:val="none" w:sz="0" w:space="0" w:color="auto"/>
        <w:right w:val="none" w:sz="0" w:space="0" w:color="auto"/>
      </w:divBdr>
    </w:div>
    <w:div w:id="934244475">
      <w:bodyDiv w:val="1"/>
      <w:marLeft w:val="0"/>
      <w:marRight w:val="0"/>
      <w:marTop w:val="0"/>
      <w:marBottom w:val="0"/>
      <w:divBdr>
        <w:top w:val="none" w:sz="0" w:space="0" w:color="auto"/>
        <w:left w:val="none" w:sz="0" w:space="0" w:color="auto"/>
        <w:bottom w:val="none" w:sz="0" w:space="0" w:color="auto"/>
        <w:right w:val="none" w:sz="0" w:space="0" w:color="auto"/>
      </w:divBdr>
      <w:divsChild>
        <w:div w:id="471169681">
          <w:marLeft w:val="1973"/>
          <w:marRight w:val="0"/>
          <w:marTop w:val="86"/>
          <w:marBottom w:val="0"/>
          <w:divBdr>
            <w:top w:val="none" w:sz="0" w:space="0" w:color="auto"/>
            <w:left w:val="none" w:sz="0" w:space="0" w:color="auto"/>
            <w:bottom w:val="none" w:sz="0" w:space="0" w:color="auto"/>
            <w:right w:val="none" w:sz="0" w:space="0" w:color="auto"/>
          </w:divBdr>
        </w:div>
      </w:divsChild>
    </w:div>
    <w:div w:id="1020594007">
      <w:bodyDiv w:val="1"/>
      <w:marLeft w:val="0"/>
      <w:marRight w:val="0"/>
      <w:marTop w:val="0"/>
      <w:marBottom w:val="0"/>
      <w:divBdr>
        <w:top w:val="none" w:sz="0" w:space="0" w:color="auto"/>
        <w:left w:val="none" w:sz="0" w:space="0" w:color="auto"/>
        <w:bottom w:val="none" w:sz="0" w:space="0" w:color="auto"/>
        <w:right w:val="none" w:sz="0" w:space="0" w:color="auto"/>
      </w:divBdr>
    </w:div>
    <w:div w:id="1176189497">
      <w:bodyDiv w:val="1"/>
      <w:marLeft w:val="0"/>
      <w:marRight w:val="0"/>
      <w:marTop w:val="0"/>
      <w:marBottom w:val="0"/>
      <w:divBdr>
        <w:top w:val="none" w:sz="0" w:space="0" w:color="auto"/>
        <w:left w:val="none" w:sz="0" w:space="0" w:color="auto"/>
        <w:bottom w:val="none" w:sz="0" w:space="0" w:color="auto"/>
        <w:right w:val="none" w:sz="0" w:space="0" w:color="auto"/>
      </w:divBdr>
      <w:divsChild>
        <w:div w:id="1316227411">
          <w:marLeft w:val="274"/>
          <w:marRight w:val="0"/>
          <w:marTop w:val="115"/>
          <w:marBottom w:val="0"/>
          <w:divBdr>
            <w:top w:val="none" w:sz="0" w:space="0" w:color="auto"/>
            <w:left w:val="none" w:sz="0" w:space="0" w:color="auto"/>
            <w:bottom w:val="none" w:sz="0" w:space="0" w:color="auto"/>
            <w:right w:val="none" w:sz="0" w:space="0" w:color="auto"/>
          </w:divBdr>
        </w:div>
      </w:divsChild>
    </w:div>
    <w:div w:id="1402871185">
      <w:bodyDiv w:val="1"/>
      <w:marLeft w:val="0"/>
      <w:marRight w:val="0"/>
      <w:marTop w:val="0"/>
      <w:marBottom w:val="0"/>
      <w:divBdr>
        <w:top w:val="none" w:sz="0" w:space="0" w:color="auto"/>
        <w:left w:val="none" w:sz="0" w:space="0" w:color="auto"/>
        <w:bottom w:val="none" w:sz="0" w:space="0" w:color="auto"/>
        <w:right w:val="none" w:sz="0" w:space="0" w:color="auto"/>
      </w:divBdr>
      <w:divsChild>
        <w:div w:id="1009678213">
          <w:marLeft w:val="274"/>
          <w:marRight w:val="0"/>
          <w:marTop w:val="115"/>
          <w:marBottom w:val="0"/>
          <w:divBdr>
            <w:top w:val="none" w:sz="0" w:space="0" w:color="auto"/>
            <w:left w:val="none" w:sz="0" w:space="0" w:color="auto"/>
            <w:bottom w:val="none" w:sz="0" w:space="0" w:color="auto"/>
            <w:right w:val="none" w:sz="0" w:space="0" w:color="auto"/>
          </w:divBdr>
        </w:div>
      </w:divsChild>
    </w:div>
    <w:div w:id="1500659617">
      <w:bodyDiv w:val="1"/>
      <w:marLeft w:val="0"/>
      <w:marRight w:val="0"/>
      <w:marTop w:val="0"/>
      <w:marBottom w:val="0"/>
      <w:divBdr>
        <w:top w:val="none" w:sz="0" w:space="0" w:color="auto"/>
        <w:left w:val="none" w:sz="0" w:space="0" w:color="auto"/>
        <w:bottom w:val="none" w:sz="0" w:space="0" w:color="auto"/>
        <w:right w:val="none" w:sz="0" w:space="0" w:color="auto"/>
      </w:divBdr>
      <w:divsChild>
        <w:div w:id="1111827968">
          <w:marLeft w:val="1973"/>
          <w:marRight w:val="0"/>
          <w:marTop w:val="86"/>
          <w:marBottom w:val="0"/>
          <w:divBdr>
            <w:top w:val="none" w:sz="0" w:space="0" w:color="auto"/>
            <w:left w:val="none" w:sz="0" w:space="0" w:color="auto"/>
            <w:bottom w:val="none" w:sz="0" w:space="0" w:color="auto"/>
            <w:right w:val="none" w:sz="0" w:space="0" w:color="auto"/>
          </w:divBdr>
        </w:div>
      </w:divsChild>
    </w:div>
    <w:div w:id="1664510493">
      <w:bodyDiv w:val="1"/>
      <w:marLeft w:val="0"/>
      <w:marRight w:val="0"/>
      <w:marTop w:val="0"/>
      <w:marBottom w:val="0"/>
      <w:divBdr>
        <w:top w:val="none" w:sz="0" w:space="0" w:color="auto"/>
        <w:left w:val="none" w:sz="0" w:space="0" w:color="auto"/>
        <w:bottom w:val="none" w:sz="0" w:space="0" w:color="auto"/>
        <w:right w:val="none" w:sz="0" w:space="0" w:color="auto"/>
      </w:divBdr>
    </w:div>
    <w:div w:id="1747340172">
      <w:bodyDiv w:val="1"/>
      <w:marLeft w:val="0"/>
      <w:marRight w:val="0"/>
      <w:marTop w:val="0"/>
      <w:marBottom w:val="0"/>
      <w:divBdr>
        <w:top w:val="none" w:sz="0" w:space="0" w:color="auto"/>
        <w:left w:val="none" w:sz="0" w:space="0" w:color="auto"/>
        <w:bottom w:val="none" w:sz="0" w:space="0" w:color="auto"/>
        <w:right w:val="none" w:sz="0" w:space="0" w:color="auto"/>
      </w:divBdr>
      <w:divsChild>
        <w:div w:id="565189727">
          <w:marLeft w:val="1973"/>
          <w:marRight w:val="0"/>
          <w:marTop w:val="77"/>
          <w:marBottom w:val="0"/>
          <w:divBdr>
            <w:top w:val="none" w:sz="0" w:space="0" w:color="auto"/>
            <w:left w:val="none" w:sz="0" w:space="0" w:color="auto"/>
            <w:bottom w:val="none" w:sz="0" w:space="0" w:color="auto"/>
            <w:right w:val="none" w:sz="0" w:space="0" w:color="auto"/>
          </w:divBdr>
        </w:div>
      </w:divsChild>
    </w:div>
    <w:div w:id="1953970253">
      <w:bodyDiv w:val="1"/>
      <w:marLeft w:val="0"/>
      <w:marRight w:val="0"/>
      <w:marTop w:val="0"/>
      <w:marBottom w:val="0"/>
      <w:divBdr>
        <w:top w:val="none" w:sz="0" w:space="0" w:color="auto"/>
        <w:left w:val="none" w:sz="0" w:space="0" w:color="auto"/>
        <w:bottom w:val="none" w:sz="0" w:space="0" w:color="auto"/>
        <w:right w:val="none" w:sz="0" w:space="0" w:color="auto"/>
      </w:divBdr>
    </w:div>
    <w:div w:id="2019498213">
      <w:bodyDiv w:val="1"/>
      <w:marLeft w:val="0"/>
      <w:marRight w:val="0"/>
      <w:marTop w:val="0"/>
      <w:marBottom w:val="0"/>
      <w:divBdr>
        <w:top w:val="none" w:sz="0" w:space="0" w:color="auto"/>
        <w:left w:val="none" w:sz="0" w:space="0" w:color="auto"/>
        <w:bottom w:val="none" w:sz="0" w:space="0" w:color="auto"/>
        <w:right w:val="none" w:sz="0" w:space="0" w:color="auto"/>
      </w:divBdr>
      <w:divsChild>
        <w:div w:id="2132281551">
          <w:marLeft w:val="274"/>
          <w:marRight w:val="0"/>
          <w:marTop w:val="115"/>
          <w:marBottom w:val="0"/>
          <w:divBdr>
            <w:top w:val="none" w:sz="0" w:space="0" w:color="auto"/>
            <w:left w:val="none" w:sz="0" w:space="0" w:color="auto"/>
            <w:bottom w:val="none" w:sz="0" w:space="0" w:color="auto"/>
            <w:right w:val="none" w:sz="0" w:space="0" w:color="auto"/>
          </w:divBdr>
        </w:div>
      </w:divsChild>
    </w:div>
    <w:div w:id="2022663272">
      <w:bodyDiv w:val="1"/>
      <w:marLeft w:val="0"/>
      <w:marRight w:val="0"/>
      <w:marTop w:val="0"/>
      <w:marBottom w:val="0"/>
      <w:divBdr>
        <w:top w:val="none" w:sz="0" w:space="0" w:color="auto"/>
        <w:left w:val="none" w:sz="0" w:space="0" w:color="auto"/>
        <w:bottom w:val="none" w:sz="0" w:space="0" w:color="auto"/>
        <w:right w:val="none" w:sz="0" w:space="0" w:color="auto"/>
      </w:divBdr>
      <w:divsChild>
        <w:div w:id="588005628">
          <w:marLeft w:val="835"/>
          <w:marRight w:val="0"/>
          <w:marTop w:val="96"/>
          <w:marBottom w:val="0"/>
          <w:divBdr>
            <w:top w:val="none" w:sz="0" w:space="0" w:color="auto"/>
            <w:left w:val="none" w:sz="0" w:space="0" w:color="auto"/>
            <w:bottom w:val="none" w:sz="0" w:space="0" w:color="auto"/>
            <w:right w:val="none" w:sz="0" w:space="0" w:color="auto"/>
          </w:divBdr>
        </w:div>
        <w:div w:id="260261950">
          <w:marLeft w:val="1411"/>
          <w:marRight w:val="0"/>
          <w:marTop w:val="96"/>
          <w:marBottom w:val="0"/>
          <w:divBdr>
            <w:top w:val="none" w:sz="0" w:space="0" w:color="auto"/>
            <w:left w:val="none" w:sz="0" w:space="0" w:color="auto"/>
            <w:bottom w:val="none" w:sz="0" w:space="0" w:color="auto"/>
            <w:right w:val="none" w:sz="0" w:space="0" w:color="auto"/>
          </w:divBdr>
        </w:div>
        <w:div w:id="1502889327">
          <w:marLeft w:val="1973"/>
          <w:marRight w:val="0"/>
          <w:marTop w:val="96"/>
          <w:marBottom w:val="0"/>
          <w:divBdr>
            <w:top w:val="none" w:sz="0" w:space="0" w:color="auto"/>
            <w:left w:val="none" w:sz="0" w:space="0" w:color="auto"/>
            <w:bottom w:val="none" w:sz="0" w:space="0" w:color="auto"/>
            <w:right w:val="none" w:sz="0" w:space="0" w:color="auto"/>
          </w:divBdr>
        </w:div>
        <w:div w:id="974480943">
          <w:marLeft w:val="1411"/>
          <w:marRight w:val="0"/>
          <w:marTop w:val="96"/>
          <w:marBottom w:val="0"/>
          <w:divBdr>
            <w:top w:val="none" w:sz="0" w:space="0" w:color="auto"/>
            <w:left w:val="none" w:sz="0" w:space="0" w:color="auto"/>
            <w:bottom w:val="none" w:sz="0" w:space="0" w:color="auto"/>
            <w:right w:val="none" w:sz="0" w:space="0" w:color="auto"/>
          </w:divBdr>
        </w:div>
        <w:div w:id="1183977506">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DC45C-A96C-46F1-95E4-711534656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136</TotalTime>
  <Pages>5</Pages>
  <Words>1686</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 1</cp:lastModifiedBy>
  <cp:revision>49</cp:revision>
  <dcterms:created xsi:type="dcterms:W3CDTF">2016-01-29T01:26:00Z</dcterms:created>
  <dcterms:modified xsi:type="dcterms:W3CDTF">2016-02-08T07:37:00Z</dcterms:modified>
</cp:coreProperties>
</file>